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56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b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  <w:lang w:val="en-US" w:eastAsia="zh-CN"/>
        </w:rPr>
        <w:t>设立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  <w:t>黔东南理工职业学院</w:t>
      </w:r>
    </w:p>
    <w:p>
      <w:pPr>
        <w:pStyle w:val="3"/>
        <w:spacing w:line="56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第一批教学设备采购询价清单</w:t>
      </w:r>
    </w:p>
    <w:p>
      <w:pPr>
        <w:pStyle w:val="2"/>
        <w:ind w:firstLine="420"/>
      </w:pPr>
    </w:p>
    <w:tbl>
      <w:tblPr>
        <w:tblStyle w:val="5"/>
        <w:tblW w:w="9912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85"/>
        <w:gridCol w:w="1337"/>
        <w:gridCol w:w="4558"/>
        <w:gridCol w:w="1020"/>
        <w:gridCol w:w="1065"/>
        <w:gridCol w:w="1347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0" w:hRule="atLeast"/>
          <w:jc w:val="center"/>
        </w:trPr>
        <w:tc>
          <w:tcPr>
            <w:tcW w:w="585" w:type="dxa"/>
            <w:shd w:val="clear" w:color="auto" w:fill="00B0F0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序号</w:t>
            </w:r>
          </w:p>
        </w:tc>
        <w:tc>
          <w:tcPr>
            <w:tcW w:w="1337" w:type="dxa"/>
            <w:shd w:val="clear" w:color="auto" w:fill="00B0F0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设备名称</w:t>
            </w:r>
          </w:p>
        </w:tc>
        <w:tc>
          <w:tcPr>
            <w:tcW w:w="4558" w:type="dxa"/>
            <w:shd w:val="clear" w:color="auto" w:fill="00B0F0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主要技术参数</w:t>
            </w:r>
          </w:p>
        </w:tc>
        <w:tc>
          <w:tcPr>
            <w:tcW w:w="1020" w:type="dxa"/>
            <w:shd w:val="clear" w:color="auto" w:fill="00B0F0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数量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（台套）</w:t>
            </w:r>
          </w:p>
        </w:tc>
        <w:tc>
          <w:tcPr>
            <w:tcW w:w="1065" w:type="dxa"/>
            <w:shd w:val="clear" w:color="auto" w:fill="00B0F0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单价</w:t>
            </w:r>
          </w:p>
          <w:p>
            <w:pPr>
              <w:pStyle w:val="2"/>
              <w:spacing w:line="320" w:lineRule="exact"/>
              <w:ind w:firstLine="0" w:firstLineChars="0"/>
              <w:jc w:val="center"/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（元）</w:t>
            </w:r>
          </w:p>
        </w:tc>
        <w:tc>
          <w:tcPr>
            <w:tcW w:w="1347" w:type="dxa"/>
            <w:shd w:val="clear" w:color="auto" w:fill="00B0F0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设备价值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（万元）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18" w:hRule="atLeast"/>
          <w:jc w:val="center"/>
        </w:trPr>
        <w:tc>
          <w:tcPr>
            <w:tcW w:w="585" w:type="dxa"/>
            <w:shd w:val="clear" w:color="auto" w:fill="FFFFFF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33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教室智慧黑板</w:t>
            </w:r>
          </w:p>
        </w:tc>
        <w:tc>
          <w:tcPr>
            <w:tcW w:w="4558" w:type="dxa"/>
            <w:shd w:val="clear" w:color="auto" w:fill="FFFFFF"/>
            <w:noWrap/>
            <w:vAlign w:val="center"/>
          </w:tcPr>
          <w:p>
            <w:pPr>
              <w:widowControl/>
              <w:tabs>
                <w:tab w:val="left" w:pos="312"/>
              </w:tabs>
              <w:spacing w:line="280" w:lineRule="exact"/>
              <w:jc w:val="left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超高清显示屏86 英寸，显示比例16:9；物理分辨率3840×2160，可视角度≥178°，屏体亮度≥480cd/</w:t>
            </w:r>
            <w:r>
              <w:rPr>
                <w:rFonts w:hint="eastAsia" w:ascii="仿宋_GB2312" w:hAnsi="宋体" w:cs="宋体"/>
                <w:sz w:val="24"/>
              </w:rPr>
              <w:t>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，对比度≥4500，刷新率60Hz；尺寸长≥4200mm、高≥1200mm、厚≤100mm；内置2.0 声道音响，具有双系统功能；处理器≥Intel Corei5；内存≥8G DDR4；硬盘≥256G-SSD 固态硬盘；内置 WiFi，内置网卡；≥1个HDMI接口，≥1个VGA接口，≥6个USB接口，配套智慧黑板授课软件。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20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18" w:hRule="atLeast"/>
          <w:jc w:val="center"/>
        </w:trPr>
        <w:tc>
          <w:tcPr>
            <w:tcW w:w="585" w:type="dxa"/>
            <w:shd w:val="clear" w:color="auto" w:fill="FFFFFF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33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多功能厅设施设备</w:t>
            </w:r>
          </w:p>
        </w:tc>
        <w:tc>
          <w:tcPr>
            <w:tcW w:w="4558" w:type="dxa"/>
            <w:shd w:val="clear" w:color="auto" w:fill="FFFFFF"/>
            <w:noWrap/>
            <w:vAlign w:val="center"/>
          </w:tcPr>
          <w:p>
            <w:pPr>
              <w:widowControl/>
              <w:tabs>
                <w:tab w:val="left" w:pos="312"/>
              </w:tabs>
              <w:spacing w:line="280" w:lineRule="exact"/>
              <w:jc w:val="left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全彩LED屏：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P1.8，显示屏尺寸≥6.72m*2.88m=19.35</w:t>
            </w:r>
            <w:r>
              <w:rPr>
                <w:rFonts w:hint="eastAsia" w:ascii="仿宋_GB2312" w:hAnsi="宋体" w:cs="宋体"/>
                <w:sz w:val="24"/>
              </w:rPr>
              <w:t>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，像素点间距 1.86±0.05mm； </w:t>
            </w:r>
          </w:p>
          <w:p>
            <w:pPr>
              <w:widowControl/>
              <w:tabs>
                <w:tab w:val="left" w:pos="312"/>
              </w:tabs>
              <w:spacing w:line="280" w:lineRule="exact"/>
              <w:jc w:val="left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控制设备：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电脑i5十二代、内存8GDDR4 3200；硬盘512G M.2 SSD固态硬盘、显示器23寸液晶显示器，视频处理器，播放软件，接收卡，配电柜；</w:t>
            </w:r>
          </w:p>
          <w:p>
            <w:pPr>
              <w:widowControl/>
              <w:tabs>
                <w:tab w:val="left" w:pos="312"/>
              </w:tabs>
              <w:spacing w:line="280" w:lineRule="exact"/>
              <w:jc w:val="left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WIFI会议系统：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LV-YH系列会议系统主机、全数字会议系统音频传输内嵌软件、会议话筒、发射器、充电箱、交换机、抑制器；</w:t>
            </w:r>
          </w:p>
          <w:p>
            <w:pPr>
              <w:widowControl/>
              <w:tabs>
                <w:tab w:val="left" w:pos="312"/>
              </w:tabs>
              <w:spacing w:line="280" w:lineRule="exact"/>
              <w:jc w:val="left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扩声系统：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专业音箱、专业功放、话筒呼叫控制嵌入软件、调音台、音频处理器、音箱地插盒、无线话筒，配套1台接收主机和2个无线手持话筒；</w:t>
            </w:r>
          </w:p>
          <w:p>
            <w:pPr>
              <w:widowControl/>
              <w:tabs>
                <w:tab w:val="left" w:pos="312"/>
              </w:tabs>
              <w:spacing w:line="280" w:lineRule="exact"/>
              <w:jc w:val="left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高清矩阵系统：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无缝高清矩阵切换器、高清无缝混插矩阵切换内嵌软件、HDMI无缝高清输入卡、高清矩阵输入板卡内嵌软件、SDI无缝高清输入卡、高清矩阵输入板卡内嵌软件、HDMI无缝高清输出卡、高清HDMI矩阵输出板卡内嵌软件；</w:t>
            </w:r>
          </w:p>
          <w:p>
            <w:pPr>
              <w:widowControl/>
              <w:tabs>
                <w:tab w:val="left" w:pos="312"/>
              </w:tabs>
              <w:spacing w:line="280" w:lineRule="exact"/>
              <w:jc w:val="left"/>
              <w:textAlignment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配套设备、装修及辅材：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机柜、LV-YH系列电源管理器、超高清KVM发送器、超高清KVM接收器；</w:t>
            </w:r>
            <w:r>
              <w:rPr>
                <w:rFonts w:hint="eastAsia" w:ascii="仿宋_GB2312" w:eastAsia="仿宋_GB2312"/>
                <w:sz w:val="24"/>
              </w:rPr>
              <w:t>全房墙面（吸音板）330平方米、轻钢龙骨木工板板石膏板造型吊顶452平方米、多功能厅地毯452平方米、电路改造、窗帘及安装、室内灯光处理、视频线、音箱线、专业咪线、网线等。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18" w:hRule="atLeast"/>
          <w:jc w:val="center"/>
        </w:trPr>
        <w:tc>
          <w:tcPr>
            <w:tcW w:w="585" w:type="dxa"/>
            <w:shd w:val="clear" w:color="auto" w:fill="FFFFFF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133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录播研讨会议室设施设备</w:t>
            </w:r>
          </w:p>
        </w:tc>
        <w:tc>
          <w:tcPr>
            <w:tcW w:w="4558" w:type="dxa"/>
            <w:shd w:val="clear" w:color="auto" w:fill="FFFFFF"/>
            <w:noWrap/>
            <w:vAlign w:val="center"/>
          </w:tcPr>
          <w:p>
            <w:pPr>
              <w:widowControl/>
              <w:tabs>
                <w:tab w:val="left" w:pos="312"/>
              </w:tabs>
              <w:spacing w:line="280" w:lineRule="exact"/>
              <w:jc w:val="left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全彩LED屏：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P1.8，显示屏尺寸≥3.2×1.92=6.14</w:t>
            </w:r>
            <w:r>
              <w:rPr>
                <w:rFonts w:hint="eastAsia" w:ascii="仿宋_GB2312" w:hAnsi="宋体" w:cs="宋体"/>
                <w:sz w:val="24"/>
              </w:rPr>
              <w:t>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，像素点间距 1.86±0.05mm； </w:t>
            </w:r>
          </w:p>
          <w:p>
            <w:pPr>
              <w:widowControl/>
              <w:tabs>
                <w:tab w:val="left" w:pos="312"/>
              </w:tabs>
              <w:spacing w:line="280" w:lineRule="exact"/>
              <w:jc w:val="left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控制设备：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电脑i5十二代、内存8GDDR4 3200；硬盘512G M.2 SSD固态硬盘、显示器23寸液晶显示器，视频处理器，播放软件，接收卡，配电柜；</w:t>
            </w:r>
          </w:p>
          <w:p>
            <w:pPr>
              <w:widowControl/>
              <w:tabs>
                <w:tab w:val="left" w:pos="312"/>
              </w:tabs>
              <w:spacing w:line="280" w:lineRule="exact"/>
              <w:jc w:val="left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WIFI会议系统：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LV-YH系列会议系统主机、全数字会议系统音频传输内嵌软件、会议话筒、发射器、充电箱、交换机、抑制器；</w:t>
            </w:r>
          </w:p>
          <w:p>
            <w:pPr>
              <w:widowControl/>
              <w:tabs>
                <w:tab w:val="left" w:pos="312"/>
              </w:tabs>
              <w:spacing w:line="280" w:lineRule="exact"/>
              <w:jc w:val="left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扩声系统：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专业音箱、专业功放、话筒呼叫控制嵌入软件、调音台、音频处理器、音箱地插盒、无线话筒，配套1台接收主机和2个无线手持话筒；</w:t>
            </w:r>
          </w:p>
          <w:p>
            <w:pPr>
              <w:widowControl/>
              <w:tabs>
                <w:tab w:val="left" w:pos="312"/>
              </w:tabs>
              <w:spacing w:line="280" w:lineRule="exact"/>
              <w:jc w:val="left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高清矩阵系统：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无缝高清矩阵切换器、高清无缝混插矩阵切换内嵌软件、HDMI无缝高清输入卡、高清矩阵输入板卡内嵌软件、SDI无缝高清输入卡、高清矩阵输入板卡内嵌软件、HDMI无缝高清输出卡、高清HDMI矩阵输出板卡内嵌软件；</w:t>
            </w:r>
          </w:p>
          <w:p>
            <w:pPr>
              <w:pStyle w:val="2"/>
              <w:ind w:firstLine="0" w:firstLineChars="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/>
                <w:b/>
              </w:rPr>
              <w:t>会议录播系统：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录播主机、自动录制控制内嵌软件、摄像机、高清视频会议专用摄像头内嵌软件；</w:t>
            </w:r>
          </w:p>
          <w:p>
            <w:pPr>
              <w:pStyle w:val="2"/>
              <w:spacing w:line="280" w:lineRule="exact"/>
              <w:ind w:firstLine="0" w:firstLineChars="0"/>
              <w:rPr>
                <w:rFonts w:ascii="仿宋_GB2312" w:eastAsia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配套设备、装修及辅材：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机柜、LV-YH系列电源管理器、超高清KVM发送器、超高清KVM接收器；</w:t>
            </w:r>
            <w:r>
              <w:rPr>
                <w:rFonts w:hint="eastAsia" w:ascii="仿宋_GB2312" w:eastAsia="仿宋_GB2312"/>
                <w:sz w:val="24"/>
              </w:rPr>
              <w:t>全房墙面（吸音板）176平方米、轻钢龙骨木工板板石膏板造型吊顶80平方米、软膜灯箱吊顶装饰及灯光65平方米、会议室地毯145平方米、电路改造、窗帘及安装、室内灯光处理、视频线、音箱线、专业咪线、网线等。</w:t>
            </w:r>
          </w:p>
        </w:tc>
        <w:tc>
          <w:tcPr>
            <w:tcW w:w="1020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1</w:t>
            </w:r>
          </w:p>
        </w:tc>
        <w:tc>
          <w:tcPr>
            <w:tcW w:w="1065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4" w:hRule="atLeast"/>
          <w:jc w:val="center"/>
        </w:trPr>
        <w:tc>
          <w:tcPr>
            <w:tcW w:w="8565" w:type="dxa"/>
            <w:gridSpan w:val="5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合计</w:t>
            </w:r>
          </w:p>
        </w:tc>
        <w:tc>
          <w:tcPr>
            <w:tcW w:w="1347" w:type="dxa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4" w:hRule="atLeast"/>
          <w:jc w:val="center"/>
        </w:trPr>
        <w:tc>
          <w:tcPr>
            <w:tcW w:w="9912" w:type="dxa"/>
            <w:gridSpan w:val="6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注：请注明设备技术参数、规格型号、标明价格；装修装潢请提供设计方案和效果图。询价清单请盖公司章。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4Mzk4ZWRkZmMyOTU3MTllNTRmYjI2NWMyYzNkODkifQ=="/>
  </w:docVars>
  <w:rsids>
    <w:rsidRoot w:val="00000000"/>
    <w:rsid w:val="3F514480"/>
    <w:rsid w:val="4D0D0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4"/>
    <w:next w:val="4"/>
    <w:qFormat/>
    <w:uiPriority w:val="9"/>
    <w:pPr>
      <w:spacing w:before="0" w:after="0" w:line="240" w:lineRule="auto"/>
      <w:ind w:firstLine="200" w:firstLineChars="200"/>
      <w:outlineLvl w:val="1"/>
    </w:pPr>
    <w:rPr>
      <w:rFonts w:ascii="等线 Light" w:hAnsi="等线 Light" w:eastAsia="仿宋"/>
      <w:b w:val="0"/>
      <w:bCs w:val="0"/>
      <w:sz w:val="28"/>
    </w:rPr>
  </w:style>
  <w:style w:type="paragraph" w:styleId="4">
    <w:name w:val="heading 3"/>
    <w:basedOn w:val="1"/>
    <w:next w:val="1"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qFormat/>
    <w:uiPriority w:val="4"/>
    <w:pPr>
      <w:ind w:firstLine="200" w:firstLineChars="200"/>
    </w:pPr>
  </w:style>
  <w:style w:type="paragraph" w:customStyle="1" w:styleId="7">
    <w:name w:val="一级标题"/>
    <w:next w:val="3"/>
    <w:qFormat/>
    <w:uiPriority w:val="0"/>
    <w:pPr>
      <w:ind w:firstLine="200" w:firstLineChars="200"/>
      <w:outlineLvl w:val="0"/>
    </w:pPr>
    <w:rPr>
      <w:rFonts w:ascii="仿宋" w:hAnsi="仿宋" w:eastAsia="仿宋" w:cs="Times New Roman"/>
      <w:b/>
      <w:bCs/>
      <w:kern w:val="2"/>
      <w:sz w:val="28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1176</Words>
  <Characters>1396</Characters>
  <Lines>0</Lines>
  <Paragraphs>0</Paragraphs>
  <TotalTime>0</TotalTime>
  <ScaleCrop>false</ScaleCrop>
  <LinksUpToDate>false</LinksUpToDate>
  <CharactersWithSpaces>1412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2022-05-10T06:33:00Z</dcterms:created>
  <dc:creator>18035</dc:creator>
  <cp:lastModifiedBy>HanHan</cp:lastModifiedBy>
  <dcterms:modified xsi:type="dcterms:W3CDTF">2022-05-10T07:07:29Z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1AE3B91057EF4087B2B366FF3FE14C53</vt:lpwstr>
  </property>
</Properties>
</file>