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560" w:lineRule="exact"/>
        <w:ind w:firstLine="0" w:firstLineChars="0"/>
        <w:jc w:val="center"/>
        <w:rPr>
          <w:rFonts w:ascii="方正小标宋简体" w:hAnsi="方正小标宋简体" w:eastAsia="方正小标宋简体" w:cs="方正小标宋简体"/>
          <w:b w:val="0"/>
          <w:bCs w:val="0"/>
          <w:sz w:val="36"/>
          <w:szCs w:val="44"/>
        </w:rPr>
      </w:pPr>
      <w:r>
        <w:rPr>
          <w:rFonts w:hint="eastAsia" w:ascii="方正小标宋简体" w:hAnsi="方正小标宋简体" w:eastAsia="方正小标宋简体" w:cs="方正小标宋简体"/>
          <w:b w:val="0"/>
          <w:sz w:val="36"/>
          <w:szCs w:val="44"/>
        </w:rPr>
        <w:t>黔东南技师学院</w:t>
      </w:r>
      <w:r>
        <w:rPr>
          <w:rFonts w:hint="eastAsia" w:ascii="方正小标宋简体" w:hAnsi="方正小标宋简体" w:eastAsia="方正小标宋简体" w:cs="方正小标宋简体"/>
          <w:b w:val="0"/>
          <w:sz w:val="36"/>
          <w:szCs w:val="44"/>
          <w:lang w:val="en-US" w:eastAsia="zh-CN"/>
        </w:rPr>
        <w:t>音乐</w:t>
      </w:r>
      <w:r>
        <w:rPr>
          <w:rFonts w:hint="eastAsia" w:ascii="方正小标宋简体" w:hAnsi="方正小标宋简体" w:eastAsia="方正小标宋简体" w:cs="方正小标宋简体"/>
          <w:b w:val="0"/>
          <w:sz w:val="36"/>
          <w:szCs w:val="44"/>
        </w:rPr>
        <w:t>实训室</w:t>
      </w:r>
      <w:r>
        <w:rPr>
          <w:rFonts w:hint="eastAsia" w:ascii="方正小标宋简体" w:hAnsi="方正小标宋简体" w:eastAsia="方正小标宋简体" w:cs="方正小标宋简体"/>
          <w:b w:val="0"/>
          <w:sz w:val="36"/>
          <w:szCs w:val="44"/>
          <w:lang w:val="en-US" w:eastAsia="zh-CN"/>
        </w:rPr>
        <w:t>（厅）</w:t>
      </w:r>
      <w:r>
        <w:rPr>
          <w:rFonts w:hint="eastAsia" w:ascii="方正小标宋简体" w:hAnsi="方正小标宋简体" w:eastAsia="方正小标宋简体" w:cs="方正小标宋简体"/>
          <w:b w:val="0"/>
          <w:sz w:val="36"/>
          <w:szCs w:val="44"/>
        </w:rPr>
        <w:t>项目采购清单</w:t>
      </w:r>
    </w:p>
    <w:tbl>
      <w:tblPr>
        <w:tblStyle w:val="15"/>
        <w:tblW w:w="9526" w:type="dxa"/>
        <w:tblInd w:w="100" w:type="dxa"/>
        <w:tblLayout w:type="fixed"/>
        <w:tblCellMar>
          <w:top w:w="0" w:type="dxa"/>
          <w:left w:w="108" w:type="dxa"/>
          <w:bottom w:w="0" w:type="dxa"/>
          <w:right w:w="108" w:type="dxa"/>
        </w:tblCellMar>
      </w:tblPr>
      <w:tblGrid>
        <w:gridCol w:w="700"/>
        <w:gridCol w:w="2865"/>
        <w:gridCol w:w="1420"/>
        <w:gridCol w:w="1486"/>
        <w:gridCol w:w="760"/>
        <w:gridCol w:w="925"/>
        <w:gridCol w:w="1370"/>
      </w:tblGrid>
      <w:tr>
        <w:tblPrEx>
          <w:tblCellMar>
            <w:top w:w="0" w:type="dxa"/>
            <w:left w:w="108" w:type="dxa"/>
            <w:bottom w:w="0" w:type="dxa"/>
            <w:right w:w="108" w:type="dxa"/>
          </w:tblCellMar>
        </w:tblPrEx>
        <w:trPr>
          <w:trHeight w:val="568" w:hRule="atLeast"/>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序号</w:t>
            </w:r>
          </w:p>
        </w:tc>
        <w:tc>
          <w:tcPr>
            <w:tcW w:w="2865" w:type="dxa"/>
            <w:tcBorders>
              <w:top w:val="single" w:color="000000" w:sz="8" w:space="0"/>
              <w:left w:val="single" w:color="000000" w:sz="8" w:space="0"/>
              <w:bottom w:val="nil"/>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实训室名称</w:t>
            </w:r>
          </w:p>
        </w:tc>
        <w:tc>
          <w:tcPr>
            <w:tcW w:w="1420"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设备名称</w:t>
            </w:r>
          </w:p>
        </w:tc>
        <w:tc>
          <w:tcPr>
            <w:tcW w:w="1486"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技术参数</w:t>
            </w:r>
          </w:p>
        </w:tc>
        <w:tc>
          <w:tcPr>
            <w:tcW w:w="760"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数量</w:t>
            </w:r>
          </w:p>
        </w:tc>
        <w:tc>
          <w:tcPr>
            <w:tcW w:w="925"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单价（元）</w:t>
            </w:r>
          </w:p>
        </w:tc>
        <w:tc>
          <w:tcPr>
            <w:tcW w:w="1370"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kern w:val="0"/>
                <w:sz w:val="24"/>
                <w:lang w:bidi="ar"/>
              </w:rPr>
            </w:pPr>
            <w:r>
              <w:rPr>
                <w:rFonts w:hint="eastAsia" w:ascii="仿宋_GB2312" w:hAnsi="宋体" w:eastAsia="仿宋_GB2312" w:cs="仿宋_GB2312"/>
                <w:b/>
                <w:bCs/>
                <w:color w:val="000000"/>
                <w:kern w:val="0"/>
                <w:sz w:val="24"/>
                <w:lang w:bidi="ar"/>
              </w:rPr>
              <w:t>小计（元）</w:t>
            </w:r>
          </w:p>
        </w:tc>
      </w:tr>
      <w:tr>
        <w:tblPrEx>
          <w:tblCellMar>
            <w:top w:w="0" w:type="dxa"/>
            <w:left w:w="108" w:type="dxa"/>
            <w:bottom w:w="0" w:type="dxa"/>
            <w:right w:w="108" w:type="dxa"/>
          </w:tblCellMar>
        </w:tblPrEx>
        <w:trPr>
          <w:trHeight w:val="259"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c>
          <w:tcPr>
            <w:tcW w:w="2865" w:type="dxa"/>
            <w:tcBorders>
              <w:top w:val="nil"/>
              <w:left w:val="single" w:color="000000" w:sz="8" w:space="0"/>
              <w:bottom w:val="single" w:color="000000" w:sz="8" w:space="0"/>
              <w:right w:val="single" w:color="000000" w:sz="8" w:space="0"/>
            </w:tcBorders>
            <w:shd w:val="clear" w:color="auto" w:fill="00B0F0"/>
            <w:vAlign w:val="center"/>
          </w:tcPr>
          <w:p>
            <w:pPr>
              <w:widowControl/>
              <w:textAlignment w:val="center"/>
              <w:rPr>
                <w:rFonts w:ascii="仿宋_GB2312" w:hAnsi="宋体" w:eastAsia="仿宋_GB2312" w:cs="仿宋_GB2312"/>
                <w:b/>
                <w:bCs/>
                <w:color w:val="000000"/>
                <w:kern w:val="0"/>
                <w:sz w:val="24"/>
                <w:lang w:bidi="ar"/>
              </w:rPr>
            </w:pPr>
          </w:p>
        </w:tc>
        <w:tc>
          <w:tcPr>
            <w:tcW w:w="1420"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c>
          <w:tcPr>
            <w:tcW w:w="1486"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c>
          <w:tcPr>
            <w:tcW w:w="760"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c>
          <w:tcPr>
            <w:tcW w:w="925"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c>
          <w:tcPr>
            <w:tcW w:w="1370"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r>
      <w:tr>
        <w:tblPrEx>
          <w:tblCellMar>
            <w:top w:w="0" w:type="dxa"/>
            <w:left w:w="108" w:type="dxa"/>
            <w:bottom w:w="0" w:type="dxa"/>
            <w:right w:w="108" w:type="dxa"/>
          </w:tblCellMar>
        </w:tblPrEx>
        <w:trPr>
          <w:trHeight w:val="852" w:hRule="atLeast"/>
        </w:trPr>
        <w:tc>
          <w:tcPr>
            <w:tcW w:w="7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p>
        </w:tc>
        <w:tc>
          <w:tcPr>
            <w:tcW w:w="28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音乐厅</w:t>
            </w:r>
          </w:p>
        </w:tc>
        <w:tc>
          <w:tcPr>
            <w:tcW w:w="14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音乐厅设备</w:t>
            </w:r>
          </w:p>
        </w:tc>
        <w:tc>
          <w:tcPr>
            <w:tcW w:w="14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详见附件1</w:t>
            </w:r>
          </w:p>
        </w:tc>
        <w:tc>
          <w:tcPr>
            <w:tcW w:w="7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p>
        </w:tc>
        <w:tc>
          <w:tcPr>
            <w:tcW w:w="9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p>
        </w:tc>
        <w:tc>
          <w:tcPr>
            <w:tcW w:w="13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39"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总计</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p>
        </w:tc>
      </w:tr>
    </w:tbl>
    <w:p>
      <w:pPr>
        <w:jc w:val="center"/>
        <w:rPr>
          <w:rFonts w:ascii="仿宋_GB2312" w:hAnsi="宋体" w:eastAsia="仿宋_GB2312" w:cs="仿宋_GB2312"/>
          <w:color w:val="000000"/>
          <w:sz w:val="24"/>
        </w:rPr>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spacing w:line="20" w:lineRule="exact"/>
        <w:ind w:firstLine="0" w:firstLineChars="0"/>
        <w:rPr>
          <w:rFonts w:ascii="仿宋_GB2312" w:hAnsi="仿宋_GB2312" w:eastAsia="仿宋_GB2312" w:cs="仿宋_GB2312"/>
          <w:sz w:val="22"/>
          <w:szCs w:val="22"/>
        </w:rPr>
      </w:pPr>
    </w:p>
    <w:p>
      <w:pPr>
        <w:pStyle w:val="17"/>
        <w:spacing w:line="20" w:lineRule="exact"/>
        <w:ind w:firstLine="0" w:firstLineChars="0"/>
        <w:rPr>
          <w:rFonts w:ascii="仿宋_GB2312" w:hAnsi="仿宋_GB2312" w:eastAsia="仿宋_GB2312" w:cs="仿宋_GB2312"/>
          <w:sz w:val="22"/>
          <w:szCs w:val="22"/>
        </w:rPr>
      </w:pPr>
    </w:p>
    <w:p>
      <w:pPr>
        <w:pStyle w:val="2"/>
        <w:spacing w:line="20" w:lineRule="exact"/>
      </w:pPr>
    </w:p>
    <w:p>
      <w:pPr>
        <w:pStyle w:val="6"/>
        <w:ind w:left="0" w:leftChars="0" w:firstLine="0" w:firstLineChars="0"/>
        <w:rPr>
          <w:rFonts w:hint="eastAsia"/>
          <w:b/>
          <w:bCs/>
        </w:rPr>
        <w:sectPr>
          <w:pgSz w:w="11906" w:h="16838"/>
          <w:pgMar w:top="2098" w:right="1587" w:bottom="1757" w:left="1587" w:header="851" w:footer="992" w:gutter="0"/>
          <w:cols w:space="425" w:num="1"/>
          <w:docGrid w:type="lines" w:linePitch="312" w:charSpace="0"/>
        </w:sectPr>
      </w:pPr>
      <w:bookmarkStart w:id="0" w:name="_GoBack"/>
      <w:bookmarkEnd w:id="0"/>
    </w:p>
    <w:p>
      <w:pPr>
        <w:rPr>
          <w:rFonts w:ascii="仿宋" w:hAnsi="仿宋" w:eastAsia="仿宋" w:cs="仿宋"/>
          <w:b/>
          <w:bCs/>
          <w:sz w:val="28"/>
          <w:szCs w:val="28"/>
        </w:rPr>
      </w:pPr>
      <w:r>
        <w:rPr>
          <w:rFonts w:hint="eastAsia" w:ascii="仿宋" w:hAnsi="仿宋" w:eastAsia="仿宋" w:cs="仿宋"/>
          <w:b/>
          <w:bCs/>
          <w:sz w:val="28"/>
          <w:szCs w:val="28"/>
        </w:rPr>
        <w:t>附件1：音乐厅</w:t>
      </w:r>
    </w:p>
    <w:tbl>
      <w:tblPr>
        <w:tblStyle w:val="15"/>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81"/>
        <w:gridCol w:w="1815"/>
        <w:gridCol w:w="2895"/>
        <w:gridCol w:w="577"/>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 w:val="24"/>
              </w:rPr>
            </w:pPr>
            <w:r>
              <w:rPr>
                <w:rFonts w:hint="eastAsia" w:ascii="仿宋_GB2312" w:hAnsi="仿宋" w:eastAsia="仿宋_GB2312" w:cs="仿宋"/>
                <w:b/>
                <w:bCs/>
                <w:sz w:val="24"/>
              </w:rPr>
              <w:t>序号</w:t>
            </w:r>
          </w:p>
        </w:tc>
        <w:tc>
          <w:tcPr>
            <w:tcW w:w="1281" w:type="dxa"/>
            <w:shd w:val="clear" w:color="auto" w:fill="00B0F0"/>
            <w:noWrap/>
            <w:vAlign w:val="center"/>
          </w:tcPr>
          <w:p>
            <w:pPr>
              <w:adjustRightInd w:val="0"/>
              <w:snapToGrid w:val="0"/>
              <w:spacing w:line="300" w:lineRule="exact"/>
              <w:jc w:val="center"/>
              <w:rPr>
                <w:rFonts w:ascii="仿宋_GB2312" w:hAnsi="仿宋" w:eastAsia="仿宋_GB2312" w:cs="仿宋"/>
                <w:b/>
                <w:bCs/>
                <w:sz w:val="24"/>
              </w:rPr>
            </w:pPr>
            <w:r>
              <w:rPr>
                <w:rFonts w:hint="eastAsia" w:ascii="仿宋_GB2312" w:hAnsi="仿宋" w:eastAsia="仿宋_GB2312" w:cs="仿宋"/>
                <w:b/>
                <w:bCs/>
                <w:sz w:val="24"/>
              </w:rPr>
              <w:t>实训室</w:t>
            </w:r>
          </w:p>
          <w:p>
            <w:pPr>
              <w:adjustRightInd w:val="0"/>
              <w:snapToGrid w:val="0"/>
              <w:spacing w:line="300" w:lineRule="exact"/>
              <w:jc w:val="center"/>
              <w:rPr>
                <w:rFonts w:ascii="仿宋_GB2312" w:hAnsi="仿宋" w:eastAsia="仿宋_GB2312" w:cs="仿宋"/>
                <w:b/>
                <w:bCs/>
                <w:sz w:val="24"/>
              </w:rPr>
            </w:pPr>
            <w:r>
              <w:rPr>
                <w:rFonts w:hint="eastAsia" w:ascii="仿宋_GB2312" w:hAnsi="仿宋" w:eastAsia="仿宋_GB2312" w:cs="仿宋"/>
                <w:b/>
                <w:bCs/>
                <w:sz w:val="24"/>
              </w:rPr>
              <w:t>名称</w:t>
            </w:r>
          </w:p>
        </w:tc>
        <w:tc>
          <w:tcPr>
            <w:tcW w:w="1815" w:type="dxa"/>
            <w:shd w:val="clear" w:color="auto" w:fill="00B0F0"/>
            <w:noWrap/>
            <w:vAlign w:val="center"/>
          </w:tcPr>
          <w:p>
            <w:pPr>
              <w:adjustRightInd w:val="0"/>
              <w:snapToGrid w:val="0"/>
              <w:spacing w:line="300" w:lineRule="exact"/>
              <w:jc w:val="center"/>
              <w:rPr>
                <w:rFonts w:ascii="仿宋_GB2312" w:hAnsi="仿宋" w:eastAsia="仿宋_GB2312" w:cs="仿宋"/>
                <w:b/>
                <w:bCs/>
                <w:sz w:val="24"/>
              </w:rPr>
            </w:pPr>
            <w:r>
              <w:rPr>
                <w:rFonts w:hint="eastAsia" w:ascii="仿宋_GB2312" w:hAnsi="仿宋" w:eastAsia="仿宋_GB2312" w:cs="仿宋"/>
                <w:b/>
                <w:bCs/>
                <w:sz w:val="24"/>
              </w:rPr>
              <w:t>设备名称</w:t>
            </w:r>
          </w:p>
        </w:tc>
        <w:tc>
          <w:tcPr>
            <w:tcW w:w="2895" w:type="dxa"/>
            <w:shd w:val="clear" w:color="auto" w:fill="00B0F0"/>
            <w:noWrap/>
            <w:vAlign w:val="center"/>
          </w:tcPr>
          <w:p>
            <w:pPr>
              <w:adjustRightInd w:val="0"/>
              <w:snapToGrid w:val="0"/>
              <w:spacing w:line="300" w:lineRule="exact"/>
              <w:jc w:val="center"/>
              <w:rPr>
                <w:rFonts w:ascii="仿宋_GB2312" w:hAnsi="仿宋" w:eastAsia="仿宋_GB2312" w:cs="仿宋"/>
                <w:b/>
                <w:bCs/>
                <w:sz w:val="24"/>
              </w:rPr>
            </w:pPr>
            <w:r>
              <w:rPr>
                <w:rFonts w:hint="eastAsia" w:ascii="仿宋_GB2312" w:hAnsi="仿宋" w:eastAsia="仿宋_GB2312" w:cs="仿宋"/>
                <w:b/>
                <w:bCs/>
                <w:sz w:val="24"/>
              </w:rPr>
              <w:t>技术参数</w:t>
            </w:r>
          </w:p>
        </w:tc>
        <w:tc>
          <w:tcPr>
            <w:tcW w:w="577" w:type="dxa"/>
            <w:shd w:val="clear" w:color="auto" w:fill="00B0F0"/>
            <w:noWrap/>
            <w:vAlign w:val="center"/>
          </w:tcPr>
          <w:p>
            <w:pPr>
              <w:adjustRightInd w:val="0"/>
              <w:snapToGrid w:val="0"/>
              <w:spacing w:line="300" w:lineRule="exact"/>
              <w:jc w:val="center"/>
              <w:rPr>
                <w:rFonts w:ascii="仿宋_GB2312" w:hAnsi="仿宋" w:eastAsia="仿宋_GB2312" w:cs="仿宋"/>
                <w:b/>
                <w:bCs/>
                <w:sz w:val="24"/>
              </w:rPr>
            </w:pPr>
            <w:r>
              <w:rPr>
                <w:rFonts w:hint="eastAsia" w:ascii="仿宋_GB2312" w:hAnsi="仿宋" w:eastAsia="仿宋_GB2312" w:cs="仿宋"/>
                <w:b/>
                <w:bCs/>
                <w:sz w:val="24"/>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 w:val="24"/>
              </w:rPr>
            </w:pPr>
            <w:r>
              <w:rPr>
                <w:rFonts w:hint="eastAsia" w:ascii="仿宋_GB2312" w:hAnsi="仿宋" w:eastAsia="仿宋_GB2312" w:cs="仿宋"/>
                <w:b/>
                <w:bCs/>
                <w:sz w:val="24"/>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 w:val="24"/>
              </w:rPr>
            </w:pPr>
            <w:r>
              <w:rPr>
                <w:rFonts w:hint="eastAsia" w:ascii="仿宋_GB2312" w:hAnsi="仿宋" w:eastAsia="仿宋_GB2312" w:cs="仿宋"/>
                <w:b/>
                <w:bCs/>
                <w:sz w:val="24"/>
              </w:rPr>
              <w:t>单价（元）</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 w:val="24"/>
              </w:rPr>
            </w:pPr>
            <w:r>
              <w:rPr>
                <w:rFonts w:hint="eastAsia" w:ascii="仿宋_GB2312" w:hAnsi="仿宋" w:eastAsia="仿宋_GB2312" w:cs="仿宋"/>
                <w:b/>
                <w:bCs/>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restart"/>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w:t>
            </w:r>
          </w:p>
          <w:p>
            <w:pPr>
              <w:adjustRightInd w:val="0"/>
              <w:snapToGrid w:val="0"/>
              <w:spacing w:line="300" w:lineRule="exact"/>
              <w:jc w:val="center"/>
              <w:rPr>
                <w:rFonts w:ascii="仿宋_GB2312" w:hAnsi="仿宋" w:eastAsia="仿宋_GB2312" w:cs="仿宋"/>
                <w:szCs w:val="21"/>
              </w:rPr>
            </w:pPr>
          </w:p>
        </w:tc>
        <w:tc>
          <w:tcPr>
            <w:tcW w:w="1281" w:type="dxa"/>
            <w:vMerge w:val="restart"/>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音乐厅</w:t>
            </w: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双15寸专业</w:t>
            </w:r>
          </w:p>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主音箱</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1、系统类型：双15寸二分频单驱动线阵列扬声器</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2、频率响应(±3dB)：≥40Hz-16KHz</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3、指向性 (H×V)：≥60°× 40°</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4、灵敏度（1W/1m）：≥100dB</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5、最大声压级：≥136dB                                       </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6、总谐波失真：≤5%</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7、额定功率：≥1000W                                        </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8、长期最大功率：≥2000W</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9、高频传感器：≥1x3”进口差分频钛膜压缩驱动扬声器；</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10、低频传感器：≥2x15”进口差分频低音驱动器扬声器；</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11、输入连接器：2*NL-4扬声器 Neutrik Speakon；                                               </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★11、提供产品生产企业ISO45001职业健康管理，ISO9001质量管理、ISO14001环境管理、GB/T29490知识产权管理体系认证证书，提供复印件并加盖投标人公章。                                                  </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★12、提供产品带有CNAS标志第三方检测机构出具的检测报告并加盖投标人公章(检测报告内容需体现第2、3、4、5、6、7、8条内容）</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低音炮</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1、单十八寸阵列式超低扬声器；</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2、频率范围(-10dB)：≥30Hz-500Hz；</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3、频率响应(±3dB)：≥30Hz-300Hz；</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4、系统灵敏度:≥97dB/W/M；</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5、额定功率（AES）≥700W(连续)                                   6、最大声压级(SPL)：≥125dB-SPL，声压级续平均≥131dB峰值</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7、低音单元：1x18"进口差分频驱动器低音扬声器； </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8、输入连接器：2*NL-4扬声器 Neutrik Speakon                                          </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★6、提供产品带有CNAS标志第三方检测机构出具的检测报告并加盖投标人公章(检测报告内容需体现第2、3、4、5、6条内容）</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单12寸专业</w:t>
            </w:r>
          </w:p>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辅助音箱</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1、频率响应：≥55Hz-20KHz（±3dB）</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2、标称覆盖角（HxV）：≥80°×50°</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3、灵敏度（1w/1m）：≥97dB</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4、声压级：≥121dB /127dB（连续值/峰值)；</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5、额定功率（AES）：≥300W</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6、标称阻抗：8Ω </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7、低音单元：1*12"差分频驱动器低音扬声器，                        8、高音单元：1x2"差分频驱动器高音压缩器；</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★9、提供产品带有CNAS标志第三方检测机构出具的检测报告复印件(检测报告内容需体现第1、2、3、4、5条内容）并加盖投标人公章</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四通道</w:t>
            </w:r>
          </w:p>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数字功放MPA4-500</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1、功率：8Ω立体声功率:≥550W×4；                                  2、4Ω立体声功率:≥810W×4；                                            3、8Ω桥接单声道功率:≥1600W×2；</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w:t>
            </w:r>
            <w:r>
              <w:rPr>
                <w:rFonts w:hint="eastAsia" w:ascii="宋体" w:hAnsi="宋体" w:cs="宋体"/>
                <w:szCs w:val="21"/>
              </w:rPr>
              <w:t>頻</w:t>
            </w:r>
            <w:r>
              <w:rPr>
                <w:rFonts w:hint="eastAsia" w:ascii="仿宋_GB2312" w:hAnsi="仿宋_GB2312" w:eastAsia="仿宋_GB2312" w:cs="仿宋_GB2312"/>
                <w:szCs w:val="21"/>
              </w:rPr>
              <w:t>率响应（</w:t>
            </w:r>
            <w:r>
              <w:rPr>
                <w:rFonts w:hint="eastAsia" w:ascii="仿宋_GB2312" w:hAnsi="仿宋" w:eastAsia="仿宋_GB2312" w:cs="仿宋"/>
                <w:szCs w:val="21"/>
              </w:rPr>
              <w:t>1W/8Ω）:20Hz-20kHz，±1.5dB</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5、总谐波失真≤0.5%；                                             6、阻尼系数：≥200 </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7、信噪比(A计权)≥100dB；                                             8、转换速率: ≥20V/us </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9、保护要求：防止短路、空载、开关机噪音、无线电干扰保护电路</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★10、与音箱同一品牌，提供产品带有CNAS标志第三方检测机构出具的检测报告复印件(检测报告内容需体现第1、2、3、4、5、6、7、8、9条内容）并加盖投标人公章 </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台</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四通道</w:t>
            </w:r>
          </w:p>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数字功放MPA4-1300</w:t>
            </w:r>
          </w:p>
        </w:tc>
        <w:tc>
          <w:tcPr>
            <w:tcW w:w="289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1、功率：8Ω立体声功率:≥1220W×4；                                  2、4Ω立体声功率:≥1670W×4；                                            3、8Ω桥接单声道功率:≥4000W×2；</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4、</w:t>
            </w:r>
            <w:r>
              <w:rPr>
                <w:rFonts w:hint="eastAsia" w:ascii="宋体" w:hAnsi="宋体" w:cs="宋体"/>
                <w:color w:val="000000"/>
                <w:kern w:val="0"/>
                <w:szCs w:val="21"/>
              </w:rPr>
              <w:t>頻</w:t>
            </w:r>
            <w:r>
              <w:rPr>
                <w:rFonts w:hint="eastAsia" w:ascii="仿宋_GB2312" w:hAnsi="仿宋_GB2312" w:eastAsia="仿宋_GB2312" w:cs="仿宋_GB2312"/>
                <w:color w:val="000000"/>
                <w:kern w:val="0"/>
                <w:szCs w:val="21"/>
              </w:rPr>
              <w:t>率响应（</w:t>
            </w:r>
            <w:r>
              <w:rPr>
                <w:rFonts w:hint="eastAsia" w:ascii="仿宋_GB2312" w:hAnsi="仿宋" w:eastAsia="仿宋_GB2312" w:cs="仿宋"/>
                <w:color w:val="000000"/>
                <w:kern w:val="0"/>
                <w:szCs w:val="21"/>
              </w:rPr>
              <w:t>1W/8Ω）:20Hz-20kHz，±1.5dB</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5、总谐波失真：≤0.5%；                                             6、阻尼系数：≥200 </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7、信噪比(A计权)≥100dB；                                             8、转换速率: ≥20V/us </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9、保护要求：防止短路、空载、开关机噪音、无线电干扰保护电路</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★10、与音箱同一品牌，提供产品带有CNAS标志第三方检测机构出具的检测报告复印件(检测报告内容需体现第1、2、3、4、5、6、7、8、9条内容）并加盖投标人公章。     </w:t>
            </w:r>
          </w:p>
        </w:tc>
        <w:tc>
          <w:tcPr>
            <w:tcW w:w="577" w:type="dxa"/>
            <w:noWrap/>
            <w:vAlign w:val="center"/>
          </w:tcPr>
          <w:p>
            <w:pPr>
              <w:widowControl/>
              <w:jc w:val="center"/>
              <w:textAlignment w:val="center"/>
              <w:rPr>
                <w:rFonts w:ascii="仿宋_GB2312" w:hAnsi="仿宋" w:eastAsia="仿宋_GB2312" w:cs="仿宋"/>
                <w:szCs w:val="21"/>
              </w:rPr>
            </w:pPr>
          </w:p>
        </w:tc>
        <w:tc>
          <w:tcPr>
            <w:tcW w:w="621" w:type="dxa"/>
            <w:noWrap/>
            <w:vAlign w:val="center"/>
          </w:tcPr>
          <w:p>
            <w:pPr>
              <w:widowControl/>
              <w:jc w:val="center"/>
              <w:textAlignment w:val="center"/>
              <w:rPr>
                <w:rFonts w:ascii="仿宋_GB2312" w:hAnsi="仿宋" w:eastAsia="仿宋_GB2312" w:cs="仿宋"/>
                <w:szCs w:val="21"/>
              </w:rPr>
            </w:pP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数字处理器</w:t>
            </w:r>
          </w:p>
        </w:tc>
        <w:tc>
          <w:tcPr>
            <w:tcW w:w="289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1、采用最新ADI五系列芯片，64-Bit高速双核DSP处理器</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2、音乐通道有9段PEQ立体声均衡器，并自动识别光纤音频数字输入。麦克风15段PEQ单独调节，                               </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3、全数字音频处理系统，立体声DSP多重数字混响。</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4、麦克风消声设定，独立压限设计；移频2Hz～8Hz可选反馈抑制，并可选“OFF”。</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5、效果通道独立设有高、低通，混响和回声分别设有5段参量均衡(PEQ)等功能。</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6、各输出通道分别设7段参量均衡，高低通调节，混合比例，极性，延时，压限，增益功能。</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7、支持VOD红外接口控制机器。</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8、支持RS232连接电脑控制机器，配有管理控制软件。</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9、自带RTA频谱显示，可更有效的找到啸叫频点。</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10、三级工程密码锁定功能，根据使用需要自行设定。</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11、可存储9组系统模式,开机状态为最后一次机器保存数据。           ★12、与音箱同一品牌，提供产品带有CNAS标志第三方检测机构出具的检测报告并加盖投标人公章</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台</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调音台</w:t>
            </w:r>
          </w:p>
        </w:tc>
        <w:tc>
          <w:tcPr>
            <w:tcW w:w="289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1、12路输入，输入模式：8路单声+2路立体声</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2、高级99D种DSP数字混响效果处理器，而且每种效果可单独调节</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3、总输出自带1组三段均衡线路，可对麦克风输出及话筒扬声器声音进行单独调节</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4、多种输入输出接口主输入、卡座输入和前置输出、辅助输出及录音输出接口</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5、每分路带一键监听按键，可随时控制每分路耳机开关</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6、提供USB录音接口，实现一键录音功能</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7、输入接口支持平衡输入和不平衡输入</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8、两路AUX发送，一路监听输出</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9、七键控制的USB接口MP3播放功能 </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10、低噪无衰减式前置放大器                                          ★11、与音箱同一品牌，提供产品带有CNAS标志第三方检测机构出具的检测报告并加盖投标人公章</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台</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数字会议</w:t>
            </w:r>
          </w:p>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系统主控机</w:t>
            </w:r>
          </w:p>
        </w:tc>
        <w:tc>
          <w:tcPr>
            <w:tcW w:w="2895" w:type="dxa"/>
            <w:noWrap/>
            <w:vAlign w:val="center"/>
          </w:tcPr>
          <w:p>
            <w:pPr>
              <w:widowControl/>
              <w:jc w:val="left"/>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1、支持讨论、视像跟踪、签到、投票表决功能，采用全数字会议技术，基于数字网络架构开发，内置高性能CPU处理器；</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2、≥4.3寸全视角IPS电容触摸屏，直观显示和方便调节系统的各项参数；须在第三方检测报告中体现此项内容。</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3、主机具有20组固定的频率通道，同时发言人数可设置为1-6人，最多支持6个主席同时发言；须在第三方检测报告中体现此项内容。</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4、兼容有线会议单元同时使用，支持热插拔，具有1组共2路RJ45的话筒单元接口，采用闭环链接，双边供电，支持20个网线接口的单元。另外具有1路8芯话筒单元接口，支持30个8芯接口的单元；                                                              5、具有多种会议模式：先进先出、申请、自由、限制、声控等；具有发言时间限制功能（可设置0-1000S，定时关闭和自动关闭，主席单元不受影响）；</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6、具备会议服务功能,发言单元可申请茶水、纸笔、帮助等服务；</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7、采用高性能DSP处理器对音频进行高中低音调节；须在第三方检测报告中体现此项内容。</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8、系统主机可设置IP地址，具有TCP/IP网络接口，可连接无线路由器，使用同一局域网内的电脑、手机、平板等设备对主机进行操作设置，支持谷歌Android/微软Windows系统等操作系统,同时具有USB接口,可连接电脑对主机进行操作设置。</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9、具有摄像头232和485通讯接口（6P凤凰插），连接标清或高清摄像头，支持SONY VISCA、PELCO P/D通讯协议；须在第三方检测报告中体现此项内容。</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 xml:space="preserve">10、具有警报信号输入接口,当公共广播警报系统启动时,可自动暂停会议,并向与会单元发送警报信息；须在第三方检测报告中体现此项内容。                                                   </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 xml:space="preserve">11、双备份无线话筒(兼容有线备份输出),须在第三方检测报告中体现此项内容。                                                                        </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 xml:space="preserve">12、具有USB接口,MP3格式输出;须在第三方检测报告中体现此项内容。              </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 xml:space="preserve">13、搭配DANTE音频输入输出功能，连接其他DANTE设备，配4x1 HDMI高清视频切换接口。                                                           </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 xml:space="preserve"> ★14、与扬声器同一品牌，提供产品带有CNAS标志第三方质量检测机构出具的检测报告复印件(检测报告内容需体现2、3、7、9、10、11、12项内容)并加盖投标人公章。                                        </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台</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数字会议系统</w:t>
            </w:r>
          </w:p>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主席单元</w:t>
            </w:r>
          </w:p>
        </w:tc>
        <w:tc>
          <w:tcPr>
            <w:tcW w:w="2895" w:type="dxa"/>
            <w:noWrap/>
            <w:vAlign w:val="center"/>
          </w:tcPr>
          <w:p>
            <w:pPr>
              <w:widowControl/>
              <w:jc w:val="left"/>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1. 8芯线接口的单元采用T型8芯连线，线材采用全线铝箔、水线屏蔽，大大降低强电磁波对线材的干扰</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2. 支持使用T型8芯连线及超六类网线，“手拉手”线连接方式，支持热插拔，带有两个RJ45接口，并带防止松动夹套</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3. 专业高保真电容咪芯，带宽达到20Hz~20KHz</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4. 采用铝合金方形麦克风，通过固定接头连接话筒底座，可调俯仰角度，整体稳重，高档大气</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5. 话筒头部带双色发言灯环，单元发言时灯环为常亮红色，单元申请发言时灯环为常亮绿色</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6. ≥2.4寸高亮度IPS TFT显示屏，显示内容清晰，可以显示单元参数、日期时间、发言音量、监听音量等，了解当前的使用情况</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7. 话筒带发言计时功能</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8. 话筒单元带有耳机输出口， 并带有音量调节按键，可以自由选择输出方式并调节其音量</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9. 发言单元可申请茶水、纸笔、帮助等服务</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10. 主席单元具有批准代表的发言申请功能;</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11. 主席单元不受发言人数限制;</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台</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无线手持话筒</w:t>
            </w:r>
          </w:p>
        </w:tc>
        <w:tc>
          <w:tcPr>
            <w:tcW w:w="2895" w:type="dxa"/>
            <w:noWrap/>
            <w:vAlign w:val="center"/>
          </w:tcPr>
          <w:p>
            <w:pPr>
              <w:widowControl/>
              <w:jc w:val="left"/>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bdr w:val="single" w:color="000000" w:sz="4" w:space="0"/>
                <w:shd w:val="clear" w:color="auto" w:fill="FFFFFF"/>
              </w:rPr>
              <w:drawing>
                <wp:anchor distT="0" distB="0" distL="114300" distR="114300" simplePos="0" relativeHeight="251659264" behindDoc="0" locked="0" layoutInCell="1" allowOverlap="1">
                  <wp:simplePos x="0" y="0"/>
                  <wp:positionH relativeFrom="column">
                    <wp:posOffset>754380</wp:posOffset>
                  </wp:positionH>
                  <wp:positionV relativeFrom="paragraph">
                    <wp:posOffset>0</wp:posOffset>
                  </wp:positionV>
                  <wp:extent cx="8255" cy="262890"/>
                  <wp:effectExtent l="0" t="0" r="1270" b="3810"/>
                  <wp:wrapNone/>
                  <wp:docPr id="1" name="图片_36"/>
                  <wp:cNvGraphicFramePr/>
                  <a:graphic xmlns:a="http://schemas.openxmlformats.org/drawingml/2006/main">
                    <a:graphicData uri="http://schemas.openxmlformats.org/drawingml/2006/picture">
                      <pic:pic xmlns:pic="http://schemas.openxmlformats.org/drawingml/2006/picture">
                        <pic:nvPicPr>
                          <pic:cNvPr id="1" name="图片_36"/>
                          <pic:cNvPicPr/>
                        </pic:nvPicPr>
                        <pic:blipFill>
                          <a:blip r:embed="rId4"/>
                          <a:stretch>
                            <a:fillRect/>
                          </a:stretch>
                        </pic:blipFill>
                        <pic:spPr>
                          <a:xfrm>
                            <a:off x="0" y="0"/>
                            <a:ext cx="8255" cy="262890"/>
                          </a:xfrm>
                          <a:prstGeom prst="rect">
                            <a:avLst/>
                          </a:prstGeom>
                          <a:noFill/>
                          <a:ln>
                            <a:noFill/>
                          </a:ln>
                        </pic:spPr>
                      </pic:pic>
                    </a:graphicData>
                  </a:graphic>
                </wp:anchor>
              </w:drawing>
            </w:r>
            <w:r>
              <w:rPr>
                <w:rFonts w:hint="eastAsia" w:ascii="仿宋_GB2312" w:hAnsi="仿宋" w:eastAsia="仿宋_GB2312" w:cs="仿宋"/>
                <w:color w:val="000000"/>
                <w:kern w:val="0"/>
                <w:szCs w:val="21"/>
                <w:bdr w:val="single" w:color="000000" w:sz="4" w:space="0"/>
                <w:shd w:val="clear" w:color="auto" w:fill="FFFFFF"/>
              </w:rPr>
              <w:drawing>
                <wp:anchor distT="0" distB="0" distL="114300" distR="114300" simplePos="0" relativeHeight="251660288" behindDoc="0" locked="0" layoutInCell="1" allowOverlap="1">
                  <wp:simplePos x="0" y="0"/>
                  <wp:positionH relativeFrom="column">
                    <wp:posOffset>754380</wp:posOffset>
                  </wp:positionH>
                  <wp:positionV relativeFrom="paragraph">
                    <wp:posOffset>0</wp:posOffset>
                  </wp:positionV>
                  <wp:extent cx="8255" cy="262890"/>
                  <wp:effectExtent l="0" t="0" r="1270" b="3810"/>
                  <wp:wrapNone/>
                  <wp:docPr id="2" name="图片_36_SpCnt_1"/>
                  <wp:cNvGraphicFramePr/>
                  <a:graphic xmlns:a="http://schemas.openxmlformats.org/drawingml/2006/main">
                    <a:graphicData uri="http://schemas.openxmlformats.org/drawingml/2006/picture">
                      <pic:pic xmlns:pic="http://schemas.openxmlformats.org/drawingml/2006/picture">
                        <pic:nvPicPr>
                          <pic:cNvPr id="2" name="图片_36_SpCnt_1"/>
                          <pic:cNvPicPr/>
                        </pic:nvPicPr>
                        <pic:blipFill>
                          <a:blip r:embed="rId4"/>
                          <a:stretch>
                            <a:fillRect/>
                          </a:stretch>
                        </pic:blipFill>
                        <pic:spPr>
                          <a:xfrm>
                            <a:off x="0" y="0"/>
                            <a:ext cx="8255" cy="262890"/>
                          </a:xfrm>
                          <a:prstGeom prst="rect">
                            <a:avLst/>
                          </a:prstGeom>
                          <a:noFill/>
                          <a:ln>
                            <a:noFill/>
                          </a:ln>
                        </pic:spPr>
                      </pic:pic>
                    </a:graphicData>
                  </a:graphic>
                </wp:anchor>
              </w:drawing>
            </w:r>
            <w:r>
              <w:rPr>
                <w:rFonts w:hint="eastAsia" w:ascii="仿宋_GB2312" w:hAnsi="仿宋" w:eastAsia="仿宋_GB2312" w:cs="仿宋"/>
                <w:color w:val="000000"/>
                <w:kern w:val="0"/>
                <w:szCs w:val="21"/>
                <w:bdr w:val="single" w:color="000000" w:sz="4" w:space="0"/>
                <w:shd w:val="clear" w:color="auto" w:fill="FFFFFF"/>
              </w:rPr>
              <w:drawing>
                <wp:anchor distT="0" distB="0" distL="114300" distR="114300" simplePos="0" relativeHeight="251661312" behindDoc="0" locked="0" layoutInCell="1" allowOverlap="1">
                  <wp:simplePos x="0" y="0"/>
                  <wp:positionH relativeFrom="column">
                    <wp:posOffset>754380</wp:posOffset>
                  </wp:positionH>
                  <wp:positionV relativeFrom="paragraph">
                    <wp:posOffset>0</wp:posOffset>
                  </wp:positionV>
                  <wp:extent cx="8255" cy="262890"/>
                  <wp:effectExtent l="0" t="0" r="1270" b="3810"/>
                  <wp:wrapNone/>
                  <wp:docPr id="3" name="图片_36_SpCnt_2"/>
                  <wp:cNvGraphicFramePr/>
                  <a:graphic xmlns:a="http://schemas.openxmlformats.org/drawingml/2006/main">
                    <a:graphicData uri="http://schemas.openxmlformats.org/drawingml/2006/picture">
                      <pic:pic xmlns:pic="http://schemas.openxmlformats.org/drawingml/2006/picture">
                        <pic:nvPicPr>
                          <pic:cNvPr id="3" name="图片_36_SpCnt_2"/>
                          <pic:cNvPicPr/>
                        </pic:nvPicPr>
                        <pic:blipFill>
                          <a:blip r:embed="rId4"/>
                          <a:stretch>
                            <a:fillRect/>
                          </a:stretch>
                        </pic:blipFill>
                        <pic:spPr>
                          <a:xfrm>
                            <a:off x="0" y="0"/>
                            <a:ext cx="8255" cy="262890"/>
                          </a:xfrm>
                          <a:prstGeom prst="rect">
                            <a:avLst/>
                          </a:prstGeom>
                          <a:noFill/>
                          <a:ln>
                            <a:noFill/>
                          </a:ln>
                        </pic:spPr>
                      </pic:pic>
                    </a:graphicData>
                  </a:graphic>
                </wp:anchor>
              </w:drawing>
            </w:r>
            <w:r>
              <w:rPr>
                <w:rFonts w:hint="eastAsia" w:ascii="仿宋_GB2312" w:hAnsi="仿宋" w:eastAsia="仿宋_GB2312" w:cs="仿宋"/>
                <w:color w:val="000000"/>
                <w:kern w:val="0"/>
                <w:szCs w:val="21"/>
              </w:rPr>
              <w:t>1.使用UHF500.00-980.00MHz频段，可出厂预设多个通道模块频率范围；频道数目: 10个群组，每组8个频道；</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2.双向同步技术，不需要面对面操作就可以完成自动对频/选频/跳频功能，频率切换: UHF和2.4G自动同步，支持20米外单独使用话筒完成远程对频；须在第三方检测报告中体现此项内容。</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3.分集线路接收系统，减少长距离传输的接收点,增强接收距离和稳定性；</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4.智能化的音频传输和加密技术，能提供极佳的音质和射频性能；</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5.数字无线音 频技术，优秀线路设计杜绝了信号传输过程中的音质损失；</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6.话筒采样集成MICRO USB充电接口；大容量可拆除3.7V 18650锂电池供电，提供更长的续航时间和可更换电池的方便； 理想有效距离80-150米；</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7.主机功能显示屏采用3.6×2.8高亮度LCD显示屏，界面可切换中文、英文；可调发射器音频信号增益调节、发射器射频功率调节、混响音量、发射机地址码等；</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8.话筒采用LCD显示屏，可动态显示单元电量、音量、通道等信息；</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9.主机电源开关；工作时显示绿色，关机/输出静音显示红色；</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10.主机副面板屏采用3×13"高亮度LCD显示屏通道接通状态为橙色、没连通/静音状态为白色，可动态显示系统信号强度、音量、通道、频点数值、扫频等信息；每个通道具备独立接收灵敏度和混响调节，调节范围为0-100，可根据实际需求调节每个话筒的灵敏度及混响；</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11.四组独立天线进行音频与数据传输;须在第三方检测报告中体现此项内容</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12.主机具备2.4G自动同步数据天线，DC5V 500mA USB充电输出接口；可为话筒提供充电功能；</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★13.与音箱同一品牌，提供产品带有CNAS标志第三方检测机构出具的检测报告并加盖生产企业鲜章。</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套</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电源时序管理器</w:t>
            </w:r>
          </w:p>
        </w:tc>
        <w:tc>
          <w:tcPr>
            <w:tcW w:w="2895" w:type="dxa"/>
            <w:noWrap/>
            <w:vAlign w:val="center"/>
          </w:tcPr>
          <w:p>
            <w:pPr>
              <w:widowControl/>
              <w:jc w:val="left"/>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1、内置高性能的滤波器</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2、前面板具有电压显示功能，配置63A大电流空气开关；后面板不少于8个受控16A万用插座</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3、总输出电流：≥30A，每个通道的最大输出电流：≥16A</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4、具有RS232串口控制协议，可连接中控及控制电脑                                 5、开关间隔时间:≤1 秒                                               6、空载功耗≤8.5W</w:t>
            </w:r>
            <w:r>
              <w:rPr>
                <w:rFonts w:hint="eastAsia" w:ascii="仿宋_GB2312" w:hAnsi="仿宋" w:eastAsia="仿宋_GB2312" w:cs="仿宋"/>
                <w:color w:val="000000"/>
                <w:kern w:val="0"/>
                <w:szCs w:val="21"/>
              </w:rPr>
              <w:br w:type="textWrapping"/>
            </w:r>
            <w:r>
              <w:rPr>
                <w:rFonts w:hint="eastAsia" w:ascii="仿宋_GB2312" w:hAnsi="仿宋" w:eastAsia="仿宋_GB2312" w:cs="仿宋"/>
                <w:color w:val="000000"/>
                <w:kern w:val="0"/>
                <w:szCs w:val="21"/>
              </w:rPr>
              <w:t>★7、与音箱同一品牌,提供产品带有CNAS标志第三方质量检测机构出具的检验报告复印件(检测报告需体5、6项内容)并加盖投标人公章</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台</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安装辅材</w:t>
            </w:r>
          </w:p>
        </w:tc>
        <w:tc>
          <w:tcPr>
            <w:tcW w:w="2895" w:type="dxa"/>
            <w:noWrap/>
            <w:vAlign w:val="center"/>
          </w:tcPr>
          <w:p>
            <w:pPr>
              <w:widowControl/>
              <w:jc w:val="left"/>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专用安装线材</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批</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航空机柜</w:t>
            </w:r>
          </w:p>
        </w:tc>
        <w:tc>
          <w:tcPr>
            <w:tcW w:w="2895" w:type="dxa"/>
            <w:noWrap/>
            <w:vAlign w:val="center"/>
          </w:tcPr>
          <w:p>
            <w:pPr>
              <w:widowControl/>
              <w:jc w:val="left"/>
              <w:textAlignment w:val="center"/>
              <w:rPr>
                <w:rFonts w:ascii="仿宋_GB2312" w:hAnsi="仿宋" w:eastAsia="仿宋_GB2312" w:cs="仿宋"/>
                <w:color w:val="000000"/>
                <w:szCs w:val="21"/>
              </w:rPr>
            </w:pPr>
            <w:r>
              <w:rPr>
                <w:rFonts w:hint="eastAsia" w:ascii="仿宋_GB2312" w:hAnsi="仿宋" w:eastAsia="仿宋_GB2312" w:cs="仿宋"/>
                <w:color w:val="000000"/>
                <w:kern w:val="0"/>
                <w:szCs w:val="21"/>
              </w:rPr>
              <w:t>专业音响机柜，防尘，防潮、带桌面</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restart"/>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光影1</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4*55W三基色灯</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灯具主要用于面光、背景、侧光和轮廓光的照明、照相摄像等</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型 号：55×4功 率：220W</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色 温：3200k 显色指数：Ra≥95</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产品类型：柔光型</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镇流器：国产高频电子型</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灯 管：OSRAM 32-930型</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灯 角：美国 1324型,</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反光板：高亮度镜面不锈钢,重 量：6.5kg</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6</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盏</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光影2</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 电源：100-260VAC/50Hz-60Hz,400W</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 光源：日本凤凰灯泡260W</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 线性电子变焦：3.8-32度</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 频闪：内置频闪功能，速度（1-10次/秒）</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 调光：0-100%调光</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 图案盘：固定图案+插拔式旋转图案盘</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颜色盘：11色+升降色温+白光</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棱镜：独立可旋转8棱镜+3D效果排镜</w:t>
            </w:r>
          </w:p>
          <w:p>
            <w:pPr>
              <w:adjustRightInd w:val="0"/>
              <w:snapToGrid w:val="0"/>
              <w:spacing w:line="300" w:lineRule="exact"/>
              <w:rPr>
                <w:rFonts w:ascii="仿宋_GB2312" w:hAnsi="仿宋" w:eastAsia="仿宋_GB2312" w:cs="仿宋"/>
                <w:szCs w:val="21"/>
              </w:rPr>
            </w:pPr>
            <w:r>
              <w:rPr>
                <w:rFonts w:hint="eastAsia" w:ascii="仿宋_GB2312" w:hAnsi="仿宋" w:eastAsia="仿宋_GB2312" w:cs="仿宋"/>
                <w:szCs w:val="21"/>
              </w:rPr>
              <w:t>智能风机自动散热控制</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标准DMX-512信号，16通道功能</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水平角度540°，8/16BIT调节，可正反转设置，自动纠错校正</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垂直角度270°，8/16BIT调节，可正反转设置，自动纠错校正</w:t>
            </w:r>
          </w:p>
          <w:p>
            <w:pPr>
              <w:adjustRightInd w:val="0"/>
              <w:snapToGrid w:val="0"/>
              <w:spacing w:line="300" w:lineRule="exact"/>
              <w:rPr>
                <w:rFonts w:ascii="仿宋_GB2312" w:hAnsi="仿宋" w:eastAsia="仿宋_GB2312" w:cs="仿宋"/>
                <w:szCs w:val="21"/>
              </w:rPr>
            </w:pPr>
            <w:r>
              <w:rPr>
                <w:rFonts w:hint="eastAsia" w:ascii="仿宋_GB2312" w:hAnsi="仿宋" w:eastAsia="仿宋_GB2312" w:cs="仿宋"/>
                <w:szCs w:val="21"/>
              </w:rPr>
              <w:t xml:space="preserve"> 内置可充电锂电池无需通电可设地址码</w:t>
            </w:r>
          </w:p>
          <w:p>
            <w:pPr>
              <w:adjustRightInd w:val="0"/>
              <w:snapToGrid w:val="0"/>
              <w:spacing w:line="300" w:lineRule="exact"/>
              <w:rPr>
                <w:rFonts w:ascii="仿宋_GB2312" w:hAnsi="仿宋" w:eastAsia="仿宋_GB2312" w:cs="仿宋"/>
                <w:szCs w:val="21"/>
              </w:rPr>
            </w:pPr>
            <w:r>
              <w:rPr>
                <w:rFonts w:hint="eastAsia" w:ascii="仿宋_GB2312" w:hAnsi="仿宋" w:eastAsia="仿宋_GB2312" w:cs="仿宋"/>
                <w:szCs w:val="21"/>
              </w:rPr>
              <w:t xml:space="preserve"> 净重量：20KG</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6</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盏</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光影3</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产品名称：四合一效果灯</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"电压：AC100-240V,50/60Hz</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额定功率：60W</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光源：图案  激光  光束  频闪四合一</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控制模式：声控、自走、DMX512</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图案：四图案</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DMX通道：5通道</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工作环境：室内使用</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冷却方式：强制风冷</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台</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光影4</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 DMX512/1990 标准。512 个 DMX 控制通道。</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 路带光隔离的独立输出驱动端口，具有抗 2000VDC 电气冲击能力。独立插板结构，容易更换。</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可控制 32 台 16 通道电脑灯。</w:t>
            </w:r>
          </w:p>
          <w:p>
            <w:pPr>
              <w:adjustRightInd w:val="0"/>
              <w:snapToGrid w:val="0"/>
              <w:spacing w:line="300" w:lineRule="exact"/>
              <w:rPr>
                <w:rFonts w:ascii="仿宋_GB2312" w:hAnsi="仿宋" w:eastAsia="仿宋_GB2312" w:cs="仿宋"/>
                <w:szCs w:val="21"/>
              </w:rPr>
            </w:pPr>
            <w:r>
              <w:rPr>
                <w:rFonts w:hint="eastAsia" w:ascii="仿宋_GB2312" w:hAnsi="仿宋" w:eastAsia="仿宋_GB2312" w:cs="仿宋"/>
                <w:szCs w:val="21"/>
              </w:rPr>
              <w:t xml:space="preserve"> 带背光的大屏幕 LCD 显示各种运行参数。</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 16 个通道推杆，1 个速度控制推杆。</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1600 个走灯程序步储存容量。48 个走灯程序，每程序最多 100 步。每步速度、渐变参数独立设置。可选</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音乐同步或手动速度控制。</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在走灯速率推杆的配合下，程序步的时间范围可从 0.03s </w:t>
            </w:r>
            <w:r>
              <w:rPr>
                <w:rFonts w:hint="eastAsia" w:ascii="宋体" w:hAnsi="宋体" w:cs="宋体"/>
                <w:szCs w:val="21"/>
              </w:rPr>
              <w:t>–</w:t>
            </w:r>
            <w:r>
              <w:rPr>
                <w:rFonts w:hint="eastAsia" w:ascii="仿宋_GB2312" w:hAnsi="仿宋" w:eastAsia="仿宋_GB2312" w:cs="仿宋"/>
                <w:szCs w:val="21"/>
              </w:rPr>
              <w:t xml:space="preserve"> 180s</w:t>
            </w:r>
          </w:p>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48 个可直接调用的电脑灯场景。</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台</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安装辅材、胶木插头灯</w:t>
            </w:r>
          </w:p>
        </w:tc>
        <w:tc>
          <w:tcPr>
            <w:tcW w:w="289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国标</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套</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固定</w:t>
            </w:r>
          </w:p>
        </w:tc>
        <w:tc>
          <w:tcPr>
            <w:tcW w:w="289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2*1.5、2*2.5、2*4平方铜芯线材</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批</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安装</w:t>
            </w:r>
          </w:p>
        </w:tc>
        <w:tc>
          <w:tcPr>
            <w:tcW w:w="289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安装人工费</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项</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LED显示屏</w:t>
            </w:r>
          </w:p>
        </w:tc>
        <w:tc>
          <w:tcPr>
            <w:tcW w:w="2895" w:type="dxa"/>
            <w:noWrap/>
            <w:vAlign w:val="center"/>
          </w:tcPr>
          <w:p>
            <w:pPr>
              <w:adjustRightInd w:val="0"/>
              <w:snapToGrid w:val="0"/>
              <w:spacing w:line="300" w:lineRule="exact"/>
              <w:rPr>
                <w:rFonts w:ascii="仿宋_GB2312" w:hAnsi="仿宋" w:eastAsia="仿宋_GB2312" w:cs="仿宋"/>
                <w:szCs w:val="21"/>
              </w:rPr>
            </w:pPr>
            <w:r>
              <w:rPr>
                <w:rFonts w:hint="eastAsia" w:ascii="仿宋_GB2312" w:hAnsi="仿宋" w:eastAsia="仿宋_GB2312" w:cs="仿宋"/>
                <w:szCs w:val="21"/>
              </w:rPr>
              <w:t>1.支持VGA显示，能显示各种计算机信息、图形、支持各种输入方式2.实时显示真彩色视频图像，可即时播放（VCR、VCD、DVD、LD）等视频信号3.可实时转播广播电视、卫星电视及有线电视的视频即时播放4.支持PLL、NTSC等各种制式，DVI、SDI、HDSDI、S-VIDEO、COMPOSITE和VIDEO、</w:t>
            </w:r>
            <w:r>
              <w:rPr>
                <w:rFonts w:hint="eastAsia" w:ascii="宋体" w:hAnsi="宋体" w:cs="宋体"/>
                <w:szCs w:val="21"/>
              </w:rPr>
              <w:t> </w:t>
            </w:r>
            <w:r>
              <w:rPr>
                <w:rFonts w:hint="eastAsia" w:ascii="仿宋_GB2312" w:hAnsi="仿宋" w:eastAsia="仿宋_GB2312" w:cs="仿宋"/>
                <w:szCs w:val="21"/>
              </w:rPr>
              <w:t>YUV、RGB、TV、HDTV、CATV等各种视频信号5.具有电视画面上叠加文字信息，全景、特写、慢镜头、特技等效果的实时编辑和播放（需另外配置非线性编辑设备）6.具有同时播放左右不同比例的画面及文字的功能</w:t>
            </w:r>
            <w:r>
              <w:rPr>
                <w:rFonts w:hint="eastAsia" w:ascii="仿宋_GB2312" w:hAnsi="仿宋" w:eastAsia="仿宋_GB2312" w:cs="仿宋"/>
                <w:szCs w:val="21"/>
              </w:rPr>
              <w:br w:type="textWrapping"/>
            </w:r>
            <w:r>
              <w:rPr>
                <w:rFonts w:hint="eastAsia" w:ascii="仿宋_GB2312" w:hAnsi="仿宋" w:eastAsia="仿宋_GB2312" w:cs="仿宋"/>
                <w:szCs w:val="21"/>
              </w:rPr>
              <w:t>7.有图文锁定功能，需要修改图文时，可先锁定，屏上无修改操作痕迹</w:t>
            </w:r>
            <w:r>
              <w:rPr>
                <w:rFonts w:hint="eastAsia" w:ascii="仿宋_GB2312" w:hAnsi="仿宋" w:eastAsia="仿宋_GB2312" w:cs="仿宋"/>
                <w:szCs w:val="21"/>
              </w:rPr>
              <w:br w:type="textWrapping"/>
            </w:r>
            <w:r>
              <w:rPr>
                <w:rFonts w:hint="eastAsia" w:ascii="仿宋_GB2312" w:hAnsi="仿宋" w:eastAsia="仿宋_GB2312" w:cs="仿宋"/>
                <w:szCs w:val="21"/>
              </w:rPr>
              <w:t>8.可以满足现场转播的使用要求，播放现场摄像机的摄像信号，预留2路以上摄像机输入接口9.可播放来自各种设备的视频信号，并能随时切换不同的视频源，8路视频源可通过音视频矩阵同时监控与切换，并可对视频画面进行缩小或放大操作</w:t>
            </w:r>
            <w:r>
              <w:rPr>
                <w:rFonts w:hint="eastAsia" w:ascii="仿宋_GB2312" w:hAnsi="仿宋" w:eastAsia="仿宋_GB2312" w:cs="仿宋"/>
                <w:szCs w:val="21"/>
              </w:rPr>
              <w:br w:type="textWrapping"/>
            </w:r>
            <w:r>
              <w:rPr>
                <w:rFonts w:hint="eastAsia" w:ascii="仿宋_GB2312" w:hAnsi="仿宋" w:eastAsia="仿宋_GB2312" w:cs="仿宋"/>
                <w:szCs w:val="21"/>
              </w:rPr>
              <w:t>10，可播放广告信息（文字、视频广告、FLASH及电脑播放的图片、视频信号）</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移动小讲台</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600*450mm*1130，木质</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5</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地砖</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规格80*80mm，防滑</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130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搭建阶梯</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钢架</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7</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软座椅</w:t>
            </w:r>
          </w:p>
        </w:tc>
        <w:tc>
          <w:tcPr>
            <w:tcW w:w="2895" w:type="dxa"/>
            <w:noWrap/>
            <w:vAlign w:val="center"/>
          </w:tcPr>
          <w:p>
            <w:pPr>
              <w:widowControl/>
              <w:shd w:val="clear" w:color="auto" w:fill="FFFFFF"/>
              <w:spacing w:line="435" w:lineRule="atLeast"/>
              <w:rPr>
                <w:rFonts w:ascii="仿宋_GB2312" w:hAnsi="仿宋" w:eastAsia="仿宋_GB2312" w:cs="仿宋"/>
                <w:color w:val="1F1F1F"/>
                <w:szCs w:val="21"/>
              </w:rPr>
            </w:pPr>
            <w:r>
              <w:rPr>
                <w:rFonts w:hint="eastAsia" w:ascii="仿宋_GB2312" w:hAnsi="仿宋" w:eastAsia="仿宋_GB2312" w:cs="仿宋"/>
                <w:color w:val="1F1F1F"/>
                <w:szCs w:val="21"/>
                <w:shd w:val="clear" w:color="auto" w:fill="FFFFFF"/>
              </w:rPr>
              <w:t>1.椅背距地面高度：1030mm，2.椅座距地面高度：430-450mm，</w:t>
            </w:r>
            <w:r>
              <w:rPr>
                <w:rFonts w:hint="eastAsia" w:ascii="仿宋_GB2312" w:hAnsi="仿宋" w:eastAsia="仿宋_GB2312" w:cs="仿宋"/>
                <w:color w:val="1F1F1F"/>
                <w:kern w:val="0"/>
                <w:szCs w:val="21"/>
                <w:shd w:val="clear" w:color="auto" w:fill="FFFFFF"/>
              </w:rPr>
              <w:t>扶手高度：580-660mm</w:t>
            </w:r>
          </w:p>
          <w:p>
            <w:pPr>
              <w:widowControl/>
              <w:shd w:val="clear" w:color="auto" w:fill="FFFFFF"/>
              <w:spacing w:line="435" w:lineRule="atLeast"/>
              <w:rPr>
                <w:rFonts w:ascii="仿宋_GB2312" w:hAnsi="仿宋" w:eastAsia="仿宋_GB2312" w:cs="仿宋"/>
                <w:color w:val="1F1F1F"/>
                <w:szCs w:val="21"/>
              </w:rPr>
            </w:pPr>
            <w:r>
              <w:rPr>
                <w:rFonts w:hint="eastAsia" w:ascii="仿宋_GB2312" w:hAnsi="仿宋" w:eastAsia="仿宋_GB2312" w:cs="仿宋"/>
                <w:color w:val="1F1F1F"/>
                <w:kern w:val="0"/>
                <w:szCs w:val="21"/>
                <w:shd w:val="clear" w:color="auto" w:fill="FFFFFF"/>
              </w:rPr>
              <w:t>4、座距：中心距：580-600mm，5.排距：900-950mm；6.座椅海绵：高密度回弹海绵，具备高回弹及超软特性，靠背海绵密度多为≥40-50kg/m</w:t>
            </w:r>
            <w:r>
              <w:rPr>
                <w:rFonts w:hint="eastAsia" w:ascii="宋体" w:hAnsi="宋体" w:cs="宋体"/>
                <w:color w:val="1F1F1F"/>
                <w:kern w:val="0"/>
                <w:szCs w:val="21"/>
                <w:shd w:val="clear" w:color="auto" w:fill="FFFFFF"/>
              </w:rPr>
              <w:t>³</w:t>
            </w:r>
            <w:r>
              <w:rPr>
                <w:rFonts w:hint="eastAsia" w:ascii="仿宋_GB2312" w:hAnsi="仿宋_GB2312" w:eastAsia="仿宋_GB2312" w:cs="仿宋_GB2312"/>
                <w:color w:val="1F1F1F"/>
                <w:kern w:val="0"/>
                <w:szCs w:val="21"/>
                <w:shd w:val="clear" w:color="auto" w:fill="FFFFFF"/>
              </w:rPr>
              <w:t>，</w:t>
            </w:r>
            <w:r>
              <w:rPr>
                <w:rFonts w:hint="eastAsia" w:ascii="仿宋_GB2312" w:hAnsi="仿宋" w:eastAsia="仿宋_GB2312" w:cs="仿宋"/>
                <w:color w:val="1F1F1F"/>
                <w:kern w:val="0"/>
                <w:szCs w:val="21"/>
                <w:shd w:val="clear" w:color="auto" w:fill="FFFFFF"/>
              </w:rPr>
              <w:t>坐垫海绵密度多为≥50-60kg/m</w:t>
            </w:r>
            <w:r>
              <w:rPr>
                <w:rFonts w:hint="eastAsia" w:ascii="宋体" w:hAnsi="宋体" w:cs="宋体"/>
                <w:color w:val="1F1F1F"/>
                <w:kern w:val="0"/>
                <w:szCs w:val="21"/>
                <w:shd w:val="clear" w:color="auto" w:fill="FFFFFF"/>
              </w:rPr>
              <w:t>³</w:t>
            </w:r>
            <w:r>
              <w:rPr>
                <w:rFonts w:hint="eastAsia" w:ascii="仿宋_GB2312" w:hAnsi="仿宋_GB2312" w:eastAsia="仿宋_GB2312" w:cs="仿宋_GB2312"/>
                <w:color w:val="1F1F1F"/>
                <w:kern w:val="0"/>
                <w:szCs w:val="21"/>
                <w:shd w:val="clear" w:color="auto" w:fill="FFFFFF"/>
              </w:rPr>
              <w:t>。</w:t>
            </w:r>
          </w:p>
          <w:p>
            <w:pPr>
              <w:widowControl/>
              <w:shd w:val="clear" w:color="auto" w:fill="FFFFFF"/>
              <w:spacing w:line="435" w:lineRule="atLeast"/>
              <w:rPr>
                <w:rFonts w:ascii="仿宋_GB2312" w:hAnsi="仿宋" w:eastAsia="仿宋_GB2312" w:cs="仿宋"/>
                <w:szCs w:val="21"/>
              </w:rPr>
            </w:pPr>
            <w:r>
              <w:rPr>
                <w:rFonts w:hint="eastAsia" w:ascii="仿宋_GB2312" w:hAnsi="仿宋" w:eastAsia="仿宋_GB2312" w:cs="仿宋"/>
                <w:color w:val="1F1F1F"/>
                <w:kern w:val="0"/>
                <w:szCs w:val="21"/>
                <w:shd w:val="clear" w:color="auto" w:fill="FFFFFF"/>
              </w:rPr>
              <w:t>7.座椅面料：高级麻绒面料，有耐磨、抗色变，柔软度适中、易清洗的特点。8.座、背外壳：带有吸音设计，保证在不同水平、不同角度、不同上座率的吸音量一致。9.扶手框与脚架焊连为一体，表面一般会采用静电喷塑处理，防锈耐用。</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100</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8</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封窗墙砖</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100mm*200mm*50mm</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84</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9</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顶面吊顶</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顶面吊顶造型</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130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10</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顶面吸音板</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15mm，A级环保，A级双面防火陶铝板</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130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11</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墙面吸音板</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15mm，A级环保，A级双面防火陶铝板</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230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12</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墙面龙骨及配件</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方木20*20*4000mm</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230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13</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空调</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大5匹，双用变频空调</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台</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14</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新风系统</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吊顶式，全热初效2000风量</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套</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15</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门牌号</w:t>
            </w:r>
          </w:p>
        </w:tc>
        <w:tc>
          <w:tcPr>
            <w:tcW w:w="289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木质</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16</w:t>
            </w:r>
          </w:p>
        </w:tc>
        <w:tc>
          <w:tcPr>
            <w:tcW w:w="1281" w:type="dxa"/>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实训室管理制度</w:t>
            </w:r>
          </w:p>
        </w:tc>
        <w:tc>
          <w:tcPr>
            <w:tcW w:w="289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50*70mm</w:t>
            </w:r>
          </w:p>
        </w:tc>
        <w:tc>
          <w:tcPr>
            <w:tcW w:w="57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22"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577"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pStyle w:val="2"/>
        <w:rPr>
          <w:rFonts w:ascii="仿宋" w:hAnsi="仿宋" w:eastAsia="仿宋" w:cs="仿宋"/>
          <w:b/>
          <w:bCs/>
          <w:sz w:val="21"/>
          <w:szCs w:val="21"/>
        </w:rPr>
      </w:pPr>
    </w:p>
    <w:sectPr>
      <w:pgSz w:w="11906" w:h="16838"/>
      <w:pgMar w:top="2098" w:right="1587"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2C417698-EC42-48DE-B5B5-1145E0527E4F}"/>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03897F4C-9BF6-4FD0-ACFB-E6E020B9192B}"/>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3" w:fontKey="{DD330274-EB9C-45D9-B8A7-07F644E41811}"/>
  </w:font>
  <w:font w:name="Segoe UI Symbol">
    <w:panose1 w:val="020B0502040204020203"/>
    <w:charset w:val="00"/>
    <w:family w:val="swiss"/>
    <w:pitch w:val="default"/>
    <w:sig w:usb0="800001E3" w:usb1="1200FFEF" w:usb2="00040000" w:usb3="04000000" w:csb0="00000001" w:csb1="40000000"/>
    <w:embedRegular r:id="rId4" w:fontKey="{E95564FD-D38D-469F-A283-DAC4883A66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Mzk4ZWRkZmMyOTU3MTllNTRmYjI2NWMyYzNkODkifQ=="/>
  </w:docVars>
  <w:rsids>
    <w:rsidRoot w:val="00D951C6"/>
    <w:rsid w:val="000176C2"/>
    <w:rsid w:val="000236BB"/>
    <w:rsid w:val="000D1EC7"/>
    <w:rsid w:val="00154480"/>
    <w:rsid w:val="0019251A"/>
    <w:rsid w:val="0021617C"/>
    <w:rsid w:val="00216F47"/>
    <w:rsid w:val="00283F35"/>
    <w:rsid w:val="004157AA"/>
    <w:rsid w:val="004B7EE6"/>
    <w:rsid w:val="00550D29"/>
    <w:rsid w:val="00590EB8"/>
    <w:rsid w:val="005C2405"/>
    <w:rsid w:val="005D0573"/>
    <w:rsid w:val="0067381D"/>
    <w:rsid w:val="00681FE4"/>
    <w:rsid w:val="006C7E58"/>
    <w:rsid w:val="006D2E00"/>
    <w:rsid w:val="006F6E12"/>
    <w:rsid w:val="007157D4"/>
    <w:rsid w:val="007520C7"/>
    <w:rsid w:val="00763163"/>
    <w:rsid w:val="007F3F08"/>
    <w:rsid w:val="007F68C7"/>
    <w:rsid w:val="00837AFB"/>
    <w:rsid w:val="008A54F8"/>
    <w:rsid w:val="00A47157"/>
    <w:rsid w:val="00A508D1"/>
    <w:rsid w:val="00A75059"/>
    <w:rsid w:val="00AA4A40"/>
    <w:rsid w:val="00B6707F"/>
    <w:rsid w:val="00B924AC"/>
    <w:rsid w:val="00BE4E5B"/>
    <w:rsid w:val="00C03EBE"/>
    <w:rsid w:val="00CC62A9"/>
    <w:rsid w:val="00D6596A"/>
    <w:rsid w:val="00D951C6"/>
    <w:rsid w:val="00DA3F3D"/>
    <w:rsid w:val="00E04434"/>
    <w:rsid w:val="00E35725"/>
    <w:rsid w:val="00EA604B"/>
    <w:rsid w:val="00EB0905"/>
    <w:rsid w:val="00EC33E6"/>
    <w:rsid w:val="00EE3A24"/>
    <w:rsid w:val="00EF4DD3"/>
    <w:rsid w:val="00F03BC9"/>
    <w:rsid w:val="00F30F0C"/>
    <w:rsid w:val="00F6792D"/>
    <w:rsid w:val="00F90F6C"/>
    <w:rsid w:val="00FB13E7"/>
    <w:rsid w:val="00FB476D"/>
    <w:rsid w:val="00FF45A6"/>
    <w:rsid w:val="01514167"/>
    <w:rsid w:val="01A7022B"/>
    <w:rsid w:val="01F571E8"/>
    <w:rsid w:val="02443CCC"/>
    <w:rsid w:val="025D08EA"/>
    <w:rsid w:val="026305F6"/>
    <w:rsid w:val="0264611C"/>
    <w:rsid w:val="03724869"/>
    <w:rsid w:val="0449365D"/>
    <w:rsid w:val="047168CE"/>
    <w:rsid w:val="04AB3B8E"/>
    <w:rsid w:val="051F680F"/>
    <w:rsid w:val="05C23886"/>
    <w:rsid w:val="05C375FE"/>
    <w:rsid w:val="05CA6838"/>
    <w:rsid w:val="05E530D0"/>
    <w:rsid w:val="06021ED4"/>
    <w:rsid w:val="064F2C3F"/>
    <w:rsid w:val="065B15E4"/>
    <w:rsid w:val="067A7CA7"/>
    <w:rsid w:val="06E42A44"/>
    <w:rsid w:val="06F04422"/>
    <w:rsid w:val="07305272"/>
    <w:rsid w:val="07373DFF"/>
    <w:rsid w:val="07A34FF1"/>
    <w:rsid w:val="07C136C9"/>
    <w:rsid w:val="07D94EB6"/>
    <w:rsid w:val="07DB478B"/>
    <w:rsid w:val="086E1AA3"/>
    <w:rsid w:val="087B1355"/>
    <w:rsid w:val="08D77648"/>
    <w:rsid w:val="08F8136C"/>
    <w:rsid w:val="09041AFB"/>
    <w:rsid w:val="097C3D4B"/>
    <w:rsid w:val="09BE4364"/>
    <w:rsid w:val="09DA6CC4"/>
    <w:rsid w:val="0A9F23E7"/>
    <w:rsid w:val="0ADD4CBE"/>
    <w:rsid w:val="0B00275A"/>
    <w:rsid w:val="0B095AB3"/>
    <w:rsid w:val="0B212DFC"/>
    <w:rsid w:val="0B5A4560"/>
    <w:rsid w:val="0B680A2B"/>
    <w:rsid w:val="0BA41FB7"/>
    <w:rsid w:val="0BC35C62"/>
    <w:rsid w:val="0C3C77C2"/>
    <w:rsid w:val="0C8A2C23"/>
    <w:rsid w:val="0C994C14"/>
    <w:rsid w:val="0CE57E5A"/>
    <w:rsid w:val="0D097FEC"/>
    <w:rsid w:val="0D431241"/>
    <w:rsid w:val="0D613984"/>
    <w:rsid w:val="0D6F130D"/>
    <w:rsid w:val="0D9D1C5D"/>
    <w:rsid w:val="0DBD4932"/>
    <w:rsid w:val="0DFC18FF"/>
    <w:rsid w:val="0E8973CD"/>
    <w:rsid w:val="0E9B1118"/>
    <w:rsid w:val="0EB977F0"/>
    <w:rsid w:val="0EDB32C2"/>
    <w:rsid w:val="0F274759"/>
    <w:rsid w:val="0F5B1954"/>
    <w:rsid w:val="0F62124B"/>
    <w:rsid w:val="0FB26719"/>
    <w:rsid w:val="1021564D"/>
    <w:rsid w:val="10525806"/>
    <w:rsid w:val="105E41AB"/>
    <w:rsid w:val="106B68C8"/>
    <w:rsid w:val="108368D9"/>
    <w:rsid w:val="110034B4"/>
    <w:rsid w:val="117B6FDE"/>
    <w:rsid w:val="11CC553B"/>
    <w:rsid w:val="1233078C"/>
    <w:rsid w:val="12641821"/>
    <w:rsid w:val="12681311"/>
    <w:rsid w:val="127203E1"/>
    <w:rsid w:val="12CD1ABC"/>
    <w:rsid w:val="12FC7CAB"/>
    <w:rsid w:val="130D010A"/>
    <w:rsid w:val="133833D9"/>
    <w:rsid w:val="134E6759"/>
    <w:rsid w:val="13743CE5"/>
    <w:rsid w:val="13AC7923"/>
    <w:rsid w:val="13D03611"/>
    <w:rsid w:val="13DC1FB6"/>
    <w:rsid w:val="1457163D"/>
    <w:rsid w:val="145E56A4"/>
    <w:rsid w:val="14CB202B"/>
    <w:rsid w:val="150F1F18"/>
    <w:rsid w:val="15120B4F"/>
    <w:rsid w:val="152139F9"/>
    <w:rsid w:val="154F0566"/>
    <w:rsid w:val="15512530"/>
    <w:rsid w:val="156166A0"/>
    <w:rsid w:val="1585667E"/>
    <w:rsid w:val="15C947BC"/>
    <w:rsid w:val="163A2347"/>
    <w:rsid w:val="163F682C"/>
    <w:rsid w:val="166B7621"/>
    <w:rsid w:val="173E0892"/>
    <w:rsid w:val="17614581"/>
    <w:rsid w:val="17A80401"/>
    <w:rsid w:val="182E4DAB"/>
    <w:rsid w:val="18511FBF"/>
    <w:rsid w:val="187A3B4C"/>
    <w:rsid w:val="18E67433"/>
    <w:rsid w:val="192E0B31"/>
    <w:rsid w:val="19DA14D8"/>
    <w:rsid w:val="1A2E1092"/>
    <w:rsid w:val="1A332204"/>
    <w:rsid w:val="1A856779"/>
    <w:rsid w:val="1AD35795"/>
    <w:rsid w:val="1ADC289C"/>
    <w:rsid w:val="1B99253B"/>
    <w:rsid w:val="1BE539D2"/>
    <w:rsid w:val="1CC17F9B"/>
    <w:rsid w:val="1CF30371"/>
    <w:rsid w:val="1DC046F7"/>
    <w:rsid w:val="1DFB5418"/>
    <w:rsid w:val="1E1E766F"/>
    <w:rsid w:val="1E731769"/>
    <w:rsid w:val="1E7770DE"/>
    <w:rsid w:val="1EA27958"/>
    <w:rsid w:val="1EE00481"/>
    <w:rsid w:val="1F990D39"/>
    <w:rsid w:val="1FF42436"/>
    <w:rsid w:val="20155449"/>
    <w:rsid w:val="205729C5"/>
    <w:rsid w:val="208F348D"/>
    <w:rsid w:val="209D0D1F"/>
    <w:rsid w:val="21667363"/>
    <w:rsid w:val="223B259E"/>
    <w:rsid w:val="22685D10"/>
    <w:rsid w:val="22A7378F"/>
    <w:rsid w:val="22BD1205"/>
    <w:rsid w:val="22C06E47"/>
    <w:rsid w:val="23045086"/>
    <w:rsid w:val="23675615"/>
    <w:rsid w:val="23A55DA4"/>
    <w:rsid w:val="241A2687"/>
    <w:rsid w:val="256E4A38"/>
    <w:rsid w:val="258424AE"/>
    <w:rsid w:val="258673AF"/>
    <w:rsid w:val="25BC0B3F"/>
    <w:rsid w:val="25C12DBA"/>
    <w:rsid w:val="26323CB8"/>
    <w:rsid w:val="265C5262"/>
    <w:rsid w:val="269E759F"/>
    <w:rsid w:val="26A5448A"/>
    <w:rsid w:val="26B02E2F"/>
    <w:rsid w:val="276E0D20"/>
    <w:rsid w:val="28575C58"/>
    <w:rsid w:val="28706D19"/>
    <w:rsid w:val="28A6273B"/>
    <w:rsid w:val="28A864B3"/>
    <w:rsid w:val="28F26183"/>
    <w:rsid w:val="29115E06"/>
    <w:rsid w:val="29437F8A"/>
    <w:rsid w:val="295D54F0"/>
    <w:rsid w:val="29CC6106"/>
    <w:rsid w:val="29D137E8"/>
    <w:rsid w:val="2A135BAE"/>
    <w:rsid w:val="2A81520E"/>
    <w:rsid w:val="2B0F6376"/>
    <w:rsid w:val="2B193698"/>
    <w:rsid w:val="2B603075"/>
    <w:rsid w:val="2BB52C1D"/>
    <w:rsid w:val="2C9F5E1F"/>
    <w:rsid w:val="2D1C7470"/>
    <w:rsid w:val="2D1E4567"/>
    <w:rsid w:val="2D2D342B"/>
    <w:rsid w:val="2D406CBA"/>
    <w:rsid w:val="2D5B3CEB"/>
    <w:rsid w:val="2D6079BE"/>
    <w:rsid w:val="2D796670"/>
    <w:rsid w:val="2DDB4C35"/>
    <w:rsid w:val="2DED155B"/>
    <w:rsid w:val="2EA27501"/>
    <w:rsid w:val="2EDC6EB7"/>
    <w:rsid w:val="2F0401BB"/>
    <w:rsid w:val="2F9836C7"/>
    <w:rsid w:val="2FD44032"/>
    <w:rsid w:val="2FD63244"/>
    <w:rsid w:val="30095E7D"/>
    <w:rsid w:val="301F137C"/>
    <w:rsid w:val="30403475"/>
    <w:rsid w:val="305B205D"/>
    <w:rsid w:val="30DF67EA"/>
    <w:rsid w:val="30E958BB"/>
    <w:rsid w:val="31083F93"/>
    <w:rsid w:val="31B00187"/>
    <w:rsid w:val="31F93A60"/>
    <w:rsid w:val="3207249C"/>
    <w:rsid w:val="325D030E"/>
    <w:rsid w:val="3330157F"/>
    <w:rsid w:val="33460DA3"/>
    <w:rsid w:val="33947D60"/>
    <w:rsid w:val="339C5E6A"/>
    <w:rsid w:val="33AD497E"/>
    <w:rsid w:val="345614B9"/>
    <w:rsid w:val="34713D3E"/>
    <w:rsid w:val="35325A82"/>
    <w:rsid w:val="354F2657"/>
    <w:rsid w:val="359F29EC"/>
    <w:rsid w:val="35D00DF7"/>
    <w:rsid w:val="3619279E"/>
    <w:rsid w:val="3647730B"/>
    <w:rsid w:val="365612FD"/>
    <w:rsid w:val="36C3270A"/>
    <w:rsid w:val="36C559EF"/>
    <w:rsid w:val="374E0226"/>
    <w:rsid w:val="37C4498C"/>
    <w:rsid w:val="38C53A27"/>
    <w:rsid w:val="38F60B75"/>
    <w:rsid w:val="390E2362"/>
    <w:rsid w:val="39292CF8"/>
    <w:rsid w:val="393022D9"/>
    <w:rsid w:val="39A4345B"/>
    <w:rsid w:val="39B90520"/>
    <w:rsid w:val="3A836438"/>
    <w:rsid w:val="3A8824C5"/>
    <w:rsid w:val="3AC76C6D"/>
    <w:rsid w:val="3B091033"/>
    <w:rsid w:val="3B117EE8"/>
    <w:rsid w:val="3B343BD6"/>
    <w:rsid w:val="3B950B19"/>
    <w:rsid w:val="3C095063"/>
    <w:rsid w:val="3C1F309D"/>
    <w:rsid w:val="3C3519B4"/>
    <w:rsid w:val="3CCF59FC"/>
    <w:rsid w:val="3CEA327B"/>
    <w:rsid w:val="3D6E33D0"/>
    <w:rsid w:val="3DF5764D"/>
    <w:rsid w:val="3E9855DC"/>
    <w:rsid w:val="3ED731F7"/>
    <w:rsid w:val="3F141D55"/>
    <w:rsid w:val="3F4D2885"/>
    <w:rsid w:val="3F6A7BC7"/>
    <w:rsid w:val="40271F5C"/>
    <w:rsid w:val="402E6E46"/>
    <w:rsid w:val="40714F85"/>
    <w:rsid w:val="407F3B46"/>
    <w:rsid w:val="4090365D"/>
    <w:rsid w:val="40ED4F53"/>
    <w:rsid w:val="411C75E7"/>
    <w:rsid w:val="412F10C8"/>
    <w:rsid w:val="414D77A0"/>
    <w:rsid w:val="4157061F"/>
    <w:rsid w:val="41BB6E00"/>
    <w:rsid w:val="42186000"/>
    <w:rsid w:val="422D280C"/>
    <w:rsid w:val="42BC4BDD"/>
    <w:rsid w:val="42D812EB"/>
    <w:rsid w:val="42F36125"/>
    <w:rsid w:val="43454BD3"/>
    <w:rsid w:val="43D1290A"/>
    <w:rsid w:val="442C5D93"/>
    <w:rsid w:val="443609BF"/>
    <w:rsid w:val="44511355"/>
    <w:rsid w:val="4475773A"/>
    <w:rsid w:val="44AA3347"/>
    <w:rsid w:val="44D75CFE"/>
    <w:rsid w:val="44EC107E"/>
    <w:rsid w:val="44EE6472"/>
    <w:rsid w:val="44FE772F"/>
    <w:rsid w:val="454B049A"/>
    <w:rsid w:val="45E701C3"/>
    <w:rsid w:val="46592743"/>
    <w:rsid w:val="4669507C"/>
    <w:rsid w:val="474D4056"/>
    <w:rsid w:val="479F2EF5"/>
    <w:rsid w:val="47CC0E13"/>
    <w:rsid w:val="47D26C51"/>
    <w:rsid w:val="47DF6676"/>
    <w:rsid w:val="484A67E7"/>
    <w:rsid w:val="484D0086"/>
    <w:rsid w:val="488278E8"/>
    <w:rsid w:val="48855A71"/>
    <w:rsid w:val="48A26623"/>
    <w:rsid w:val="48BB1493"/>
    <w:rsid w:val="48E629B4"/>
    <w:rsid w:val="48EA0B67"/>
    <w:rsid w:val="492D05E3"/>
    <w:rsid w:val="494831B2"/>
    <w:rsid w:val="4957740E"/>
    <w:rsid w:val="495C40F9"/>
    <w:rsid w:val="49843F7B"/>
    <w:rsid w:val="49C5081B"/>
    <w:rsid w:val="49DF11B1"/>
    <w:rsid w:val="49EE25F2"/>
    <w:rsid w:val="4A431740"/>
    <w:rsid w:val="4A4C311C"/>
    <w:rsid w:val="4A871F75"/>
    <w:rsid w:val="4ADB1B7B"/>
    <w:rsid w:val="4B5919F0"/>
    <w:rsid w:val="4B5A31E5"/>
    <w:rsid w:val="4BD9235C"/>
    <w:rsid w:val="4CB44A49"/>
    <w:rsid w:val="4CBD3A2C"/>
    <w:rsid w:val="4D227D33"/>
    <w:rsid w:val="4DD74FC1"/>
    <w:rsid w:val="4EDE2D8A"/>
    <w:rsid w:val="4F3E697A"/>
    <w:rsid w:val="4F6726D6"/>
    <w:rsid w:val="4FF77255"/>
    <w:rsid w:val="5023629C"/>
    <w:rsid w:val="504B6A79"/>
    <w:rsid w:val="509B0528"/>
    <w:rsid w:val="50AC1F47"/>
    <w:rsid w:val="51087240"/>
    <w:rsid w:val="51165E00"/>
    <w:rsid w:val="524B1ADA"/>
    <w:rsid w:val="52A86F2C"/>
    <w:rsid w:val="53004672"/>
    <w:rsid w:val="5305612D"/>
    <w:rsid w:val="53206AC2"/>
    <w:rsid w:val="53AB0A82"/>
    <w:rsid w:val="53C02053"/>
    <w:rsid w:val="547075D6"/>
    <w:rsid w:val="548117E3"/>
    <w:rsid w:val="548B440F"/>
    <w:rsid w:val="54BA402F"/>
    <w:rsid w:val="54D45DB6"/>
    <w:rsid w:val="54FC530D"/>
    <w:rsid w:val="55043940"/>
    <w:rsid w:val="553B5E36"/>
    <w:rsid w:val="55654C60"/>
    <w:rsid w:val="55872E29"/>
    <w:rsid w:val="562A3754"/>
    <w:rsid w:val="56586573"/>
    <w:rsid w:val="56BC4D54"/>
    <w:rsid w:val="56C37E91"/>
    <w:rsid w:val="577949F3"/>
    <w:rsid w:val="57991C29"/>
    <w:rsid w:val="57CC7219"/>
    <w:rsid w:val="58B71C77"/>
    <w:rsid w:val="58BF0B2C"/>
    <w:rsid w:val="592955CA"/>
    <w:rsid w:val="594A3E93"/>
    <w:rsid w:val="59934492"/>
    <w:rsid w:val="59E85E60"/>
    <w:rsid w:val="5A026F22"/>
    <w:rsid w:val="5A9009D2"/>
    <w:rsid w:val="5ADC59C5"/>
    <w:rsid w:val="5AE605F2"/>
    <w:rsid w:val="5B3C2907"/>
    <w:rsid w:val="5BD7618C"/>
    <w:rsid w:val="5C3E620B"/>
    <w:rsid w:val="5C594DF3"/>
    <w:rsid w:val="5C6C2D78"/>
    <w:rsid w:val="5CDD5A24"/>
    <w:rsid w:val="5D0B07E3"/>
    <w:rsid w:val="5D101956"/>
    <w:rsid w:val="5D292A17"/>
    <w:rsid w:val="5D7C6FEB"/>
    <w:rsid w:val="5E127950"/>
    <w:rsid w:val="5E6A778C"/>
    <w:rsid w:val="5EA70098"/>
    <w:rsid w:val="5F666820"/>
    <w:rsid w:val="5FA56CCD"/>
    <w:rsid w:val="5FFE018B"/>
    <w:rsid w:val="605357F5"/>
    <w:rsid w:val="60624BBE"/>
    <w:rsid w:val="606A75CF"/>
    <w:rsid w:val="607E307A"/>
    <w:rsid w:val="60824919"/>
    <w:rsid w:val="609D5BF6"/>
    <w:rsid w:val="60A01243"/>
    <w:rsid w:val="612754C0"/>
    <w:rsid w:val="61AE798F"/>
    <w:rsid w:val="61E635CD"/>
    <w:rsid w:val="61EA4E6B"/>
    <w:rsid w:val="61EE0BB8"/>
    <w:rsid w:val="61F41846"/>
    <w:rsid w:val="624B51DE"/>
    <w:rsid w:val="626D15F8"/>
    <w:rsid w:val="627961EF"/>
    <w:rsid w:val="62864468"/>
    <w:rsid w:val="62C60D7A"/>
    <w:rsid w:val="62CA25A7"/>
    <w:rsid w:val="62EB65DC"/>
    <w:rsid w:val="62EF200D"/>
    <w:rsid w:val="64065861"/>
    <w:rsid w:val="643B7C00"/>
    <w:rsid w:val="646031C3"/>
    <w:rsid w:val="64EA33D4"/>
    <w:rsid w:val="65064640"/>
    <w:rsid w:val="65124F54"/>
    <w:rsid w:val="652E102B"/>
    <w:rsid w:val="653F727C"/>
    <w:rsid w:val="655A2308"/>
    <w:rsid w:val="656F6AD5"/>
    <w:rsid w:val="65795650"/>
    <w:rsid w:val="658B0713"/>
    <w:rsid w:val="65E63B9C"/>
    <w:rsid w:val="660B715E"/>
    <w:rsid w:val="66636F9A"/>
    <w:rsid w:val="66B772E6"/>
    <w:rsid w:val="67283D40"/>
    <w:rsid w:val="67486190"/>
    <w:rsid w:val="6773320D"/>
    <w:rsid w:val="67B04461"/>
    <w:rsid w:val="68476448"/>
    <w:rsid w:val="684B23DC"/>
    <w:rsid w:val="68632E35"/>
    <w:rsid w:val="688B1744"/>
    <w:rsid w:val="68BE2BAE"/>
    <w:rsid w:val="69850B3A"/>
    <w:rsid w:val="69EE301F"/>
    <w:rsid w:val="6A0849FD"/>
    <w:rsid w:val="6A484E25"/>
    <w:rsid w:val="6A8A6E36"/>
    <w:rsid w:val="6B5C045C"/>
    <w:rsid w:val="6C152AE5"/>
    <w:rsid w:val="6C2C7E2E"/>
    <w:rsid w:val="6C437A1F"/>
    <w:rsid w:val="6C6E0447"/>
    <w:rsid w:val="6C703B78"/>
    <w:rsid w:val="6C8163CC"/>
    <w:rsid w:val="6CA13EA6"/>
    <w:rsid w:val="6D0F1C2A"/>
    <w:rsid w:val="6E0E0133"/>
    <w:rsid w:val="6E35746E"/>
    <w:rsid w:val="6E5A6ED5"/>
    <w:rsid w:val="6E5D0773"/>
    <w:rsid w:val="6E906D9A"/>
    <w:rsid w:val="6F0B01CF"/>
    <w:rsid w:val="6F467459"/>
    <w:rsid w:val="6FAA5956"/>
    <w:rsid w:val="6FF869A5"/>
    <w:rsid w:val="70D32F6E"/>
    <w:rsid w:val="71155335"/>
    <w:rsid w:val="713679E1"/>
    <w:rsid w:val="71CA25C3"/>
    <w:rsid w:val="71D058CF"/>
    <w:rsid w:val="72536115"/>
    <w:rsid w:val="726864EB"/>
    <w:rsid w:val="72715C07"/>
    <w:rsid w:val="72C64894"/>
    <w:rsid w:val="72D97771"/>
    <w:rsid w:val="731E739B"/>
    <w:rsid w:val="735E7467"/>
    <w:rsid w:val="73C92407"/>
    <w:rsid w:val="73EF4563"/>
    <w:rsid w:val="73F8013F"/>
    <w:rsid w:val="741713C4"/>
    <w:rsid w:val="74393A30"/>
    <w:rsid w:val="747A2346"/>
    <w:rsid w:val="747D1B6F"/>
    <w:rsid w:val="74CC21AE"/>
    <w:rsid w:val="74EF119F"/>
    <w:rsid w:val="751E2445"/>
    <w:rsid w:val="761C6E62"/>
    <w:rsid w:val="762878B8"/>
    <w:rsid w:val="764566BC"/>
    <w:rsid w:val="766823AB"/>
    <w:rsid w:val="76AD7DBE"/>
    <w:rsid w:val="76E23F0B"/>
    <w:rsid w:val="76F36118"/>
    <w:rsid w:val="771542E1"/>
    <w:rsid w:val="77183DD1"/>
    <w:rsid w:val="771B66F8"/>
    <w:rsid w:val="77476464"/>
    <w:rsid w:val="78120820"/>
    <w:rsid w:val="78AC2A23"/>
    <w:rsid w:val="78B10039"/>
    <w:rsid w:val="794269D6"/>
    <w:rsid w:val="79A47B9E"/>
    <w:rsid w:val="79ED6E4F"/>
    <w:rsid w:val="79F503F9"/>
    <w:rsid w:val="7A340F22"/>
    <w:rsid w:val="7A4822D7"/>
    <w:rsid w:val="7A4B1DC7"/>
    <w:rsid w:val="7B0E1773"/>
    <w:rsid w:val="7B3D5BB4"/>
    <w:rsid w:val="7B641393"/>
    <w:rsid w:val="7BB10350"/>
    <w:rsid w:val="7BBD6CF5"/>
    <w:rsid w:val="7C0B180E"/>
    <w:rsid w:val="7C3945CD"/>
    <w:rsid w:val="7C4C3713"/>
    <w:rsid w:val="7C945CA8"/>
    <w:rsid w:val="7CD267D0"/>
    <w:rsid w:val="7D0E1EA7"/>
    <w:rsid w:val="7D5863AA"/>
    <w:rsid w:val="7D9D6DDE"/>
    <w:rsid w:val="7DB859C6"/>
    <w:rsid w:val="7E470AF8"/>
    <w:rsid w:val="7F032C71"/>
    <w:rsid w:val="7F2826D7"/>
    <w:rsid w:val="7F961D37"/>
    <w:rsid w:val="7FAB54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2"/>
    <w:basedOn w:val="1"/>
    <w:next w:val="1"/>
    <w:qFormat/>
    <w:uiPriority w:val="9"/>
    <w:pPr>
      <w:ind w:firstLine="200" w:firstLineChars="200"/>
      <w:outlineLvl w:val="1"/>
    </w:pPr>
    <w:rPr>
      <w:rFonts w:ascii="等线 Light" w:hAnsi="等线 Light" w:eastAsia="仿宋"/>
      <w:sz w:val="28"/>
    </w:rPr>
  </w:style>
  <w:style w:type="paragraph" w:styleId="10">
    <w:name w:val="heading 3"/>
    <w:basedOn w:val="1"/>
    <w:next w:val="1"/>
    <w:qFormat/>
    <w:uiPriority w:val="9"/>
    <w:pPr>
      <w:keepNext/>
      <w:keepLines/>
      <w:spacing w:before="260" w:after="260" w:line="416" w:lineRule="auto"/>
      <w:outlineLvl w:val="2"/>
    </w:pPr>
    <w:rPr>
      <w:b/>
      <w:bCs/>
      <w:sz w:val="32"/>
      <w:szCs w:val="32"/>
    </w:rPr>
  </w:style>
  <w:style w:type="paragraph" w:styleId="11">
    <w:name w:val="heading 4"/>
    <w:basedOn w:val="1"/>
    <w:next w:val="1"/>
    <w:qFormat/>
    <w:uiPriority w:val="0"/>
    <w:pPr>
      <w:keepNext/>
      <w:keepLines/>
      <w:spacing w:before="280" w:after="290" w:line="374" w:lineRule="auto"/>
      <w:outlineLvl w:val="3"/>
    </w:pPr>
    <w:rPr>
      <w:rFonts w:ascii="Calibri Light" w:hAnsi="Calibri Light"/>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style>
  <w:style w:type="paragraph" w:customStyle="1" w:styleId="3">
    <w:name w:val="表格文字（两侧对齐）"/>
    <w:basedOn w:val="1"/>
    <w:qFormat/>
    <w:uiPriority w:val="0"/>
    <w:pPr>
      <w:snapToGrid w:val="0"/>
      <w:jc w:val="left"/>
    </w:pPr>
    <w:rPr>
      <w:sz w:val="20"/>
    </w:rPr>
  </w:style>
  <w:style w:type="paragraph" w:styleId="4">
    <w:name w:val="Body Text"/>
    <w:basedOn w:val="1"/>
    <w:next w:val="5"/>
    <w:unhideWhenUsed/>
    <w:qFormat/>
    <w:uiPriority w:val="0"/>
    <w:pPr>
      <w:spacing w:after="120"/>
    </w:pPr>
    <w:rPr>
      <w:rFonts w:eastAsia="等线" w:cs="等线 Light"/>
    </w:rPr>
  </w:style>
  <w:style w:type="paragraph" w:styleId="5">
    <w:name w:val="Body Text First Indent"/>
    <w:basedOn w:val="4"/>
    <w:next w:val="6"/>
    <w:qFormat/>
    <w:uiPriority w:val="0"/>
    <w:pPr>
      <w:ind w:firstLine="420" w:firstLineChars="100"/>
    </w:pPr>
    <w:rPr>
      <w:rFonts w:ascii="Calibri"/>
    </w:rPr>
  </w:style>
  <w:style w:type="paragraph" w:styleId="6">
    <w:name w:val="Body Text First Indent 2"/>
    <w:basedOn w:val="7"/>
    <w:qFormat/>
    <w:uiPriority w:val="0"/>
    <w:pPr>
      <w:ind w:left="200" w:firstLine="200" w:firstLineChars="200"/>
    </w:pPr>
  </w:style>
  <w:style w:type="paragraph" w:styleId="7">
    <w:name w:val="Body Text Indent"/>
    <w:basedOn w:val="1"/>
    <w:next w:val="8"/>
    <w:qFormat/>
    <w:uiPriority w:val="0"/>
    <w:pPr>
      <w:spacing w:after="120"/>
      <w:ind w:left="420" w:leftChars="200"/>
    </w:pPr>
    <w:rPr>
      <w:rFonts w:hAnsi="Calibri"/>
    </w:rPr>
  </w:style>
  <w:style w:type="paragraph" w:styleId="8">
    <w:name w:val="envelope return"/>
    <w:basedOn w:val="1"/>
    <w:qFormat/>
    <w:uiPriority w:val="0"/>
    <w:pPr>
      <w:snapToGrid w:val="0"/>
    </w:pPr>
    <w:rPr>
      <w:rFonts w:ascii="Arial" w:hAnsi="Arial"/>
    </w:rPr>
  </w:style>
  <w:style w:type="paragraph" w:styleId="12">
    <w:name w:val="Balloon Text"/>
    <w:basedOn w:val="1"/>
    <w:link w:val="33"/>
    <w:qFormat/>
    <w:uiPriority w:val="0"/>
    <w:rPr>
      <w:sz w:val="18"/>
      <w:szCs w:val="18"/>
    </w:rPr>
  </w:style>
  <w:style w:type="paragraph" w:styleId="13">
    <w:name w:val="footer"/>
    <w:basedOn w:val="1"/>
    <w:link w:val="22"/>
    <w:qFormat/>
    <w:uiPriority w:val="0"/>
    <w:pPr>
      <w:tabs>
        <w:tab w:val="center" w:pos="4153"/>
        <w:tab w:val="right" w:pos="8306"/>
      </w:tabs>
      <w:snapToGrid w:val="0"/>
      <w:jc w:val="left"/>
    </w:pPr>
    <w:rPr>
      <w:sz w:val="18"/>
      <w:szCs w:val="18"/>
    </w:rPr>
  </w:style>
  <w:style w:type="paragraph" w:styleId="1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正文-公1"/>
    <w:basedOn w:val="18"/>
    <w:next w:val="1"/>
    <w:qFormat/>
    <w:uiPriority w:val="4"/>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一级标题"/>
    <w:next w:val="9"/>
    <w:qFormat/>
    <w:uiPriority w:val="0"/>
    <w:pPr>
      <w:ind w:firstLine="200" w:firstLineChars="200"/>
      <w:outlineLvl w:val="0"/>
    </w:pPr>
    <w:rPr>
      <w:rFonts w:ascii="仿宋" w:hAnsi="仿宋" w:eastAsia="仿宋" w:cs="Times New Roman"/>
      <w:b/>
      <w:bCs/>
      <w:kern w:val="2"/>
      <w:sz w:val="28"/>
      <w:szCs w:val="28"/>
      <w:lang w:val="en-US" w:eastAsia="zh-CN" w:bidi="ar-SA"/>
    </w:rPr>
  </w:style>
  <w:style w:type="character" w:customStyle="1" w:styleId="20">
    <w:name w:val="font51"/>
    <w:basedOn w:val="16"/>
    <w:qFormat/>
    <w:uiPriority w:val="0"/>
    <w:rPr>
      <w:rFonts w:hint="eastAsia" w:ascii="宋体" w:hAnsi="宋体" w:eastAsia="宋体" w:cs="宋体"/>
      <w:b/>
      <w:color w:val="000000"/>
      <w:sz w:val="20"/>
      <w:szCs w:val="20"/>
      <w:u w:val="none"/>
    </w:rPr>
  </w:style>
  <w:style w:type="character" w:customStyle="1" w:styleId="21">
    <w:name w:val="页眉 Char"/>
    <w:basedOn w:val="16"/>
    <w:link w:val="14"/>
    <w:qFormat/>
    <w:uiPriority w:val="0"/>
    <w:rPr>
      <w:kern w:val="2"/>
      <w:sz w:val="18"/>
      <w:szCs w:val="18"/>
    </w:rPr>
  </w:style>
  <w:style w:type="character" w:customStyle="1" w:styleId="22">
    <w:name w:val="页脚 Char"/>
    <w:basedOn w:val="16"/>
    <w:link w:val="13"/>
    <w:qFormat/>
    <w:uiPriority w:val="0"/>
    <w:rPr>
      <w:kern w:val="2"/>
      <w:sz w:val="18"/>
      <w:szCs w:val="18"/>
    </w:rPr>
  </w:style>
  <w:style w:type="paragraph" w:customStyle="1" w:styleId="23">
    <w:name w:val="列出段落1"/>
    <w:basedOn w:val="1"/>
    <w:qFormat/>
    <w:uiPriority w:val="34"/>
    <w:pPr>
      <w:ind w:firstLine="420" w:firstLineChars="200"/>
    </w:pPr>
    <w:rPr>
      <w:szCs w:val="21"/>
    </w:rPr>
  </w:style>
  <w:style w:type="paragraph" w:customStyle="1" w:styleId="24">
    <w:name w:val="_Style 33"/>
    <w:basedOn w:val="1"/>
    <w:next w:val="23"/>
    <w:qFormat/>
    <w:uiPriority w:val="34"/>
    <w:pPr>
      <w:ind w:firstLine="420" w:firstLineChars="200"/>
    </w:pPr>
  </w:style>
  <w:style w:type="character" w:customStyle="1" w:styleId="25">
    <w:name w:val="font01"/>
    <w:basedOn w:val="16"/>
    <w:qFormat/>
    <w:uiPriority w:val="0"/>
    <w:rPr>
      <w:rFonts w:hint="default" w:ascii="Times New Roman" w:hAnsi="Times New Roman" w:cs="Times New Roman"/>
      <w:color w:val="000000"/>
      <w:sz w:val="21"/>
      <w:szCs w:val="21"/>
      <w:u w:val="none"/>
    </w:rPr>
  </w:style>
  <w:style w:type="character" w:customStyle="1" w:styleId="26">
    <w:name w:val="font11"/>
    <w:basedOn w:val="16"/>
    <w:qFormat/>
    <w:uiPriority w:val="0"/>
    <w:rPr>
      <w:rFonts w:hint="eastAsia" w:ascii="宋体" w:hAnsi="宋体" w:eastAsia="宋体" w:cs="宋体"/>
      <w:color w:val="000000"/>
      <w:sz w:val="21"/>
      <w:szCs w:val="21"/>
      <w:u w:val="none"/>
    </w:rPr>
  </w:style>
  <w:style w:type="character" w:customStyle="1" w:styleId="27">
    <w:name w:val="font21"/>
    <w:basedOn w:val="16"/>
    <w:qFormat/>
    <w:uiPriority w:val="0"/>
    <w:rPr>
      <w:rFonts w:hint="eastAsia" w:ascii="仿宋_GB2312" w:eastAsia="仿宋_GB2312" w:cs="仿宋_GB2312"/>
      <w:b/>
      <w:bCs/>
      <w:color w:val="000000"/>
      <w:sz w:val="24"/>
      <w:szCs w:val="24"/>
      <w:u w:val="none"/>
    </w:rPr>
  </w:style>
  <w:style w:type="character" w:customStyle="1" w:styleId="28">
    <w:name w:val="font31"/>
    <w:basedOn w:val="16"/>
    <w:qFormat/>
    <w:uiPriority w:val="0"/>
    <w:rPr>
      <w:rFonts w:hint="eastAsia" w:ascii="仿宋_GB2312" w:eastAsia="仿宋_GB2312" w:cs="仿宋_GB2312"/>
      <w:color w:val="000000"/>
      <w:sz w:val="21"/>
      <w:szCs w:val="21"/>
      <w:u w:val="none"/>
    </w:rPr>
  </w:style>
  <w:style w:type="character" w:customStyle="1" w:styleId="29">
    <w:name w:val="font91"/>
    <w:basedOn w:val="16"/>
    <w:qFormat/>
    <w:uiPriority w:val="0"/>
    <w:rPr>
      <w:rFonts w:hint="eastAsia" w:ascii="仿宋" w:hAnsi="仿宋" w:eastAsia="仿宋" w:cs="仿宋"/>
      <w:color w:val="000000"/>
      <w:sz w:val="24"/>
      <w:szCs w:val="24"/>
      <w:u w:val="none"/>
    </w:rPr>
  </w:style>
  <w:style w:type="character" w:customStyle="1" w:styleId="30">
    <w:name w:val="font41"/>
    <w:basedOn w:val="16"/>
    <w:qFormat/>
    <w:uiPriority w:val="0"/>
    <w:rPr>
      <w:rFonts w:hint="eastAsia" w:ascii="仿宋_GB2312" w:eastAsia="仿宋_GB2312" w:cs="仿宋_GB2312"/>
      <w:color w:val="000000"/>
      <w:sz w:val="21"/>
      <w:szCs w:val="21"/>
      <w:u w:val="none"/>
    </w:rPr>
  </w:style>
  <w:style w:type="character" w:customStyle="1" w:styleId="31">
    <w:name w:val="font61"/>
    <w:basedOn w:val="16"/>
    <w:qFormat/>
    <w:uiPriority w:val="0"/>
    <w:rPr>
      <w:rFonts w:hint="eastAsia" w:ascii="仿宋_GB2312" w:eastAsia="仿宋_GB2312" w:cs="仿宋_GB2312"/>
      <w:color w:val="000000"/>
      <w:sz w:val="21"/>
      <w:szCs w:val="21"/>
      <w:u w:val="none"/>
    </w:rPr>
  </w:style>
  <w:style w:type="paragraph" w:styleId="32">
    <w:name w:val="List Paragraph"/>
    <w:basedOn w:val="1"/>
    <w:unhideWhenUsed/>
    <w:qFormat/>
    <w:uiPriority w:val="99"/>
    <w:pPr>
      <w:ind w:firstLine="420" w:firstLineChars="200"/>
    </w:pPr>
  </w:style>
  <w:style w:type="character" w:customStyle="1" w:styleId="33">
    <w:name w:val="批注框文本 Char"/>
    <w:basedOn w:val="16"/>
    <w:link w:val="1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714A45-9441-404B-B693-28AE4FA3CD4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5224</Words>
  <Characters>6239</Characters>
  <Lines>58</Lines>
  <Paragraphs>16</Paragraphs>
  <TotalTime>2</TotalTime>
  <ScaleCrop>false</ScaleCrop>
  <LinksUpToDate>false</LinksUpToDate>
  <CharactersWithSpaces>7412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2022-03-08T17:50:00Z</dcterms:created>
  <dc:creator>HanHan</dc:creator>
  <cp:lastModifiedBy>佐蒽</cp:lastModifiedBy>
  <cp:lastPrinted>2023-07-11T06:33:00Z</cp:lastPrinted>
  <dcterms:modified xsi:type="dcterms:W3CDTF">2023-07-11T09:30:38Z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426B76C7BCD34AF28E0425E89D5E8414_13</vt:lpwstr>
  </property>
</Properties>
</file>