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黔东南州工业学校（黔东南技师学院）新校区第二批学生公寓床采购项目（设立黔东南理工职业学院第二批学生公寓床采购项目）</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宋体" w:hAnsi="宋体"/>
          <w:sz w:val="24"/>
          <w:szCs w:val="24"/>
        </w:rPr>
      </w:pPr>
      <w:r>
        <w:rPr>
          <w:rFonts w:hint="eastAsia" w:ascii="方正小标宋简体" w:hAnsi="方正小标宋简体" w:eastAsia="方正小标宋简体" w:cs="方正小标宋简体"/>
          <w:sz w:val="44"/>
          <w:szCs w:val="44"/>
          <w:lang w:val="en-US" w:eastAsia="zh-CN"/>
        </w:rPr>
        <w:t>采购清单（询价）</w:t>
      </w:r>
    </w:p>
    <w:tbl>
      <w:tblPr>
        <w:tblStyle w:val="7"/>
        <w:tblW w:w="10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439"/>
        <w:gridCol w:w="1957"/>
        <w:gridCol w:w="2106"/>
        <w:gridCol w:w="1066"/>
        <w:gridCol w:w="621"/>
        <w:gridCol w:w="875"/>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31" w:type="dxa"/>
            <w:shd w:val="clear" w:color="auto" w:fill="00B0F0"/>
            <w:noWrap/>
            <w:vAlign w:val="center"/>
          </w:tcPr>
          <w:p>
            <w:pPr>
              <w:adjustRightInd w:val="0"/>
              <w:snapToGrid w:val="0"/>
              <w:spacing w:line="300" w:lineRule="exact"/>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439" w:type="dxa"/>
            <w:shd w:val="clear" w:color="auto" w:fill="00B0F0"/>
            <w:noWrap/>
            <w:vAlign w:val="center"/>
          </w:tcPr>
          <w:p>
            <w:pPr>
              <w:adjustRightInd w:val="0"/>
              <w:snapToGrid w:val="0"/>
              <w:spacing w:line="300" w:lineRule="exact"/>
              <w:jc w:val="center"/>
              <w:rPr>
                <w:rFonts w:ascii="仿宋" w:hAnsi="仿宋" w:eastAsia="仿宋" w:cs="仿宋"/>
                <w:b/>
                <w:bCs/>
                <w:sz w:val="24"/>
                <w:szCs w:val="24"/>
              </w:rPr>
            </w:pPr>
            <w:r>
              <w:rPr>
                <w:rFonts w:hint="eastAsia" w:ascii="仿宋" w:hAnsi="仿宋" w:eastAsia="仿宋" w:cs="仿宋"/>
                <w:b/>
                <w:bCs/>
                <w:sz w:val="24"/>
                <w:szCs w:val="24"/>
              </w:rPr>
              <w:t>实训室</w:t>
            </w:r>
          </w:p>
          <w:p>
            <w:pPr>
              <w:adjustRightInd w:val="0"/>
              <w:snapToGrid w:val="0"/>
              <w:spacing w:line="300" w:lineRule="exact"/>
              <w:jc w:val="center"/>
              <w:rPr>
                <w:rFonts w:ascii="仿宋" w:hAnsi="仿宋" w:eastAsia="仿宋" w:cs="仿宋"/>
                <w:b/>
                <w:bCs/>
                <w:sz w:val="24"/>
                <w:szCs w:val="24"/>
              </w:rPr>
            </w:pPr>
            <w:r>
              <w:rPr>
                <w:rFonts w:hint="eastAsia" w:ascii="仿宋" w:hAnsi="仿宋" w:eastAsia="仿宋" w:cs="仿宋"/>
                <w:b/>
                <w:bCs/>
                <w:sz w:val="24"/>
                <w:szCs w:val="24"/>
              </w:rPr>
              <w:t>名称</w:t>
            </w:r>
          </w:p>
        </w:tc>
        <w:tc>
          <w:tcPr>
            <w:tcW w:w="1957" w:type="dxa"/>
            <w:shd w:val="clear" w:color="auto" w:fill="00B0F0"/>
            <w:noWrap/>
            <w:vAlign w:val="center"/>
          </w:tcPr>
          <w:p>
            <w:pPr>
              <w:adjustRightInd w:val="0"/>
              <w:snapToGrid w:val="0"/>
              <w:spacing w:line="300" w:lineRule="exact"/>
              <w:jc w:val="center"/>
              <w:rPr>
                <w:rFonts w:ascii="仿宋" w:hAnsi="仿宋" w:eastAsia="仿宋" w:cs="仿宋"/>
                <w:b/>
                <w:bCs/>
                <w:sz w:val="24"/>
                <w:szCs w:val="24"/>
              </w:rPr>
            </w:pPr>
            <w:r>
              <w:rPr>
                <w:rFonts w:hint="eastAsia" w:ascii="仿宋" w:hAnsi="仿宋" w:eastAsia="仿宋" w:cs="仿宋"/>
                <w:b/>
                <w:bCs/>
                <w:sz w:val="24"/>
                <w:szCs w:val="24"/>
              </w:rPr>
              <w:t>设备名称</w:t>
            </w:r>
          </w:p>
        </w:tc>
        <w:tc>
          <w:tcPr>
            <w:tcW w:w="2106" w:type="dxa"/>
            <w:shd w:val="clear" w:color="auto" w:fill="00B0F0"/>
            <w:noWrap/>
            <w:vAlign w:val="center"/>
          </w:tcPr>
          <w:p>
            <w:pPr>
              <w:adjustRightInd w:val="0"/>
              <w:snapToGrid w:val="0"/>
              <w:spacing w:line="300" w:lineRule="exact"/>
              <w:jc w:val="center"/>
              <w:rPr>
                <w:rFonts w:ascii="仿宋" w:hAnsi="仿宋" w:eastAsia="仿宋" w:cs="仿宋"/>
                <w:b/>
                <w:bCs/>
                <w:sz w:val="24"/>
                <w:szCs w:val="24"/>
              </w:rPr>
            </w:pPr>
            <w:r>
              <w:rPr>
                <w:rFonts w:hint="eastAsia" w:ascii="仿宋" w:hAnsi="仿宋" w:eastAsia="仿宋" w:cs="仿宋"/>
                <w:b/>
                <w:bCs/>
                <w:sz w:val="24"/>
                <w:szCs w:val="24"/>
              </w:rPr>
              <w:t>技术参数</w:t>
            </w:r>
          </w:p>
        </w:tc>
        <w:tc>
          <w:tcPr>
            <w:tcW w:w="1066" w:type="dxa"/>
            <w:shd w:val="clear" w:color="auto" w:fill="00B0F0"/>
            <w:noWrap/>
            <w:vAlign w:val="center"/>
          </w:tcPr>
          <w:p>
            <w:pPr>
              <w:adjustRightInd w:val="0"/>
              <w:snapToGrid w:val="0"/>
              <w:spacing w:line="300" w:lineRule="exact"/>
              <w:jc w:val="center"/>
              <w:rPr>
                <w:rFonts w:ascii="仿宋" w:hAnsi="仿宋" w:eastAsia="仿宋" w:cs="仿宋"/>
                <w:b/>
                <w:bCs/>
                <w:sz w:val="24"/>
                <w:szCs w:val="24"/>
              </w:rPr>
            </w:pPr>
            <w:r>
              <w:rPr>
                <w:rFonts w:hint="eastAsia" w:ascii="仿宋" w:hAnsi="仿宋" w:eastAsia="仿宋" w:cs="仿宋"/>
                <w:b/>
                <w:bCs/>
                <w:sz w:val="24"/>
                <w:szCs w:val="24"/>
              </w:rPr>
              <w:t>数量</w:t>
            </w:r>
          </w:p>
        </w:tc>
        <w:tc>
          <w:tcPr>
            <w:tcW w:w="621" w:type="dxa"/>
            <w:shd w:val="clear" w:color="auto" w:fill="00B0F0"/>
            <w:noWrap/>
            <w:vAlign w:val="center"/>
          </w:tcPr>
          <w:p>
            <w:pPr>
              <w:adjustRightInd w:val="0"/>
              <w:snapToGrid w:val="0"/>
              <w:spacing w:line="300" w:lineRule="exact"/>
              <w:jc w:val="center"/>
              <w:rPr>
                <w:rFonts w:ascii="仿宋" w:hAnsi="仿宋" w:eastAsia="仿宋" w:cs="仿宋"/>
                <w:b/>
                <w:bCs/>
                <w:sz w:val="24"/>
                <w:szCs w:val="24"/>
              </w:rPr>
            </w:pPr>
            <w:r>
              <w:rPr>
                <w:rFonts w:hint="eastAsia" w:ascii="仿宋" w:hAnsi="仿宋" w:eastAsia="仿宋" w:cs="仿宋"/>
                <w:b/>
                <w:bCs/>
                <w:sz w:val="24"/>
                <w:szCs w:val="24"/>
              </w:rPr>
              <w:t>单位</w:t>
            </w:r>
          </w:p>
        </w:tc>
        <w:tc>
          <w:tcPr>
            <w:tcW w:w="875" w:type="dxa"/>
            <w:shd w:val="clear" w:color="auto" w:fill="00B0F0"/>
            <w:noWrap/>
            <w:vAlign w:val="center"/>
          </w:tcPr>
          <w:p>
            <w:pPr>
              <w:adjustRightInd w:val="0"/>
              <w:snapToGrid w:val="0"/>
              <w:spacing w:line="300" w:lineRule="exact"/>
              <w:jc w:val="center"/>
              <w:rPr>
                <w:rFonts w:ascii="仿宋" w:hAnsi="仿宋" w:eastAsia="仿宋" w:cs="仿宋"/>
                <w:b/>
                <w:bCs/>
                <w:sz w:val="24"/>
                <w:szCs w:val="24"/>
              </w:rPr>
            </w:pPr>
            <w:r>
              <w:rPr>
                <w:rFonts w:hint="eastAsia" w:ascii="仿宋" w:hAnsi="仿宋" w:eastAsia="仿宋" w:cs="仿宋"/>
                <w:b/>
                <w:bCs/>
                <w:sz w:val="24"/>
                <w:szCs w:val="24"/>
              </w:rPr>
              <w:t>单价（元）</w:t>
            </w:r>
          </w:p>
        </w:tc>
        <w:tc>
          <w:tcPr>
            <w:tcW w:w="1382" w:type="dxa"/>
            <w:shd w:val="clear" w:color="auto" w:fill="00B0F0"/>
            <w:noWrap/>
            <w:vAlign w:val="center"/>
          </w:tcPr>
          <w:p>
            <w:pPr>
              <w:adjustRightInd w:val="0"/>
              <w:snapToGrid w:val="0"/>
              <w:spacing w:line="300" w:lineRule="exact"/>
              <w:jc w:val="center"/>
              <w:rPr>
                <w:rFonts w:ascii="仿宋" w:hAnsi="仿宋" w:eastAsia="仿宋" w:cs="仿宋"/>
                <w:b/>
                <w:bCs/>
                <w:sz w:val="24"/>
                <w:szCs w:val="24"/>
              </w:rPr>
            </w:pPr>
            <w:r>
              <w:rPr>
                <w:rFonts w:hint="eastAsia" w:ascii="仿宋" w:hAnsi="仿宋" w:eastAsia="仿宋" w:cs="仿宋"/>
                <w:b/>
                <w:bCs/>
                <w:sz w:val="24"/>
                <w:szCs w:val="24"/>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31" w:type="dxa"/>
            <w:noWrap/>
            <w:vAlign w:val="center"/>
          </w:tcPr>
          <w:p>
            <w:pPr>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439" w:type="dxa"/>
            <w:noWrap/>
            <w:vAlign w:val="center"/>
          </w:tcPr>
          <w:p>
            <w:pPr>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学生公寓床</w:t>
            </w:r>
          </w:p>
        </w:tc>
        <w:tc>
          <w:tcPr>
            <w:tcW w:w="1957" w:type="dxa"/>
            <w:noWrap/>
            <w:vAlign w:val="center"/>
          </w:tcPr>
          <w:p>
            <w:pPr>
              <w:widowControl/>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三人位公寓床</w:t>
            </w:r>
          </w:p>
        </w:tc>
        <w:tc>
          <w:tcPr>
            <w:tcW w:w="2106" w:type="dxa"/>
            <w:noWrap/>
            <w:vAlign w:val="center"/>
          </w:tcPr>
          <w:p>
            <w:pPr>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详见附件</w:t>
            </w:r>
            <w:r>
              <w:rPr>
                <w:rFonts w:hint="eastAsia" w:ascii="仿宋" w:hAnsi="仿宋" w:eastAsia="仿宋" w:cs="仿宋"/>
                <w:sz w:val="24"/>
                <w:szCs w:val="24"/>
                <w:lang w:val="en-US" w:eastAsia="zh-CN"/>
              </w:rPr>
              <w:t>一</w:t>
            </w:r>
          </w:p>
        </w:tc>
        <w:tc>
          <w:tcPr>
            <w:tcW w:w="1066" w:type="dxa"/>
            <w:noWrap/>
            <w:vAlign w:val="center"/>
          </w:tcPr>
          <w:p>
            <w:pPr>
              <w:widowControl/>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1148</w:t>
            </w:r>
          </w:p>
        </w:tc>
        <w:tc>
          <w:tcPr>
            <w:tcW w:w="621" w:type="dxa"/>
            <w:noWrap/>
            <w:vAlign w:val="center"/>
          </w:tcPr>
          <w:p>
            <w:pPr>
              <w:widowControl/>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张</w:t>
            </w:r>
          </w:p>
        </w:tc>
        <w:tc>
          <w:tcPr>
            <w:tcW w:w="875" w:type="dxa"/>
            <w:noWrap/>
            <w:vAlign w:val="center"/>
          </w:tcPr>
          <w:p>
            <w:pPr>
              <w:widowControl/>
              <w:jc w:val="center"/>
              <w:textAlignment w:val="center"/>
              <w:rPr>
                <w:rFonts w:hint="default" w:ascii="仿宋" w:hAnsi="仿宋" w:eastAsia="仿宋" w:cs="仿宋"/>
                <w:sz w:val="24"/>
                <w:szCs w:val="24"/>
                <w:lang w:val="en-US" w:eastAsia="zh-CN"/>
              </w:rPr>
            </w:pPr>
          </w:p>
        </w:tc>
        <w:tc>
          <w:tcPr>
            <w:tcW w:w="1382" w:type="dxa"/>
            <w:noWrap/>
            <w:vAlign w:val="center"/>
          </w:tcPr>
          <w:p>
            <w:pPr>
              <w:adjustRightInd w:val="0"/>
              <w:snapToGrid w:val="0"/>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31" w:type="dxa"/>
            <w:noWrap/>
            <w:vAlign w:val="center"/>
          </w:tcPr>
          <w:p>
            <w:pPr>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439" w:type="dxa"/>
            <w:noWrap/>
            <w:vAlign w:val="center"/>
          </w:tcPr>
          <w:p>
            <w:pPr>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扩音器</w:t>
            </w:r>
          </w:p>
        </w:tc>
        <w:tc>
          <w:tcPr>
            <w:tcW w:w="1957" w:type="dxa"/>
            <w:noWrap/>
            <w:vAlign w:val="center"/>
          </w:tcPr>
          <w:p>
            <w:pPr>
              <w:widowControl/>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便携式扩音器</w:t>
            </w:r>
          </w:p>
        </w:tc>
        <w:tc>
          <w:tcPr>
            <w:tcW w:w="2106" w:type="dxa"/>
            <w:noWrap/>
            <w:vAlign w:val="center"/>
          </w:tcPr>
          <w:p>
            <w:pPr>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详见附件一</w:t>
            </w:r>
          </w:p>
        </w:tc>
        <w:tc>
          <w:tcPr>
            <w:tcW w:w="1066" w:type="dxa"/>
            <w:noWrap/>
            <w:vAlign w:val="center"/>
          </w:tcPr>
          <w:p>
            <w:pPr>
              <w:widowControl/>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50</w:t>
            </w:r>
          </w:p>
        </w:tc>
        <w:tc>
          <w:tcPr>
            <w:tcW w:w="621" w:type="dxa"/>
            <w:noWrap/>
            <w:vAlign w:val="center"/>
          </w:tcPr>
          <w:p>
            <w:pPr>
              <w:widowControl/>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875" w:type="dxa"/>
            <w:noWrap/>
            <w:vAlign w:val="center"/>
          </w:tcPr>
          <w:p>
            <w:pPr>
              <w:widowControl/>
              <w:jc w:val="center"/>
              <w:textAlignment w:val="center"/>
              <w:rPr>
                <w:rFonts w:hint="default" w:ascii="仿宋" w:hAnsi="仿宋" w:eastAsia="仿宋" w:cs="仿宋"/>
                <w:sz w:val="24"/>
                <w:szCs w:val="24"/>
                <w:lang w:val="en-US" w:eastAsia="zh-CN"/>
              </w:rPr>
            </w:pPr>
          </w:p>
        </w:tc>
        <w:tc>
          <w:tcPr>
            <w:tcW w:w="1382" w:type="dxa"/>
            <w:noWrap/>
            <w:vAlign w:val="center"/>
          </w:tcPr>
          <w:p>
            <w:pPr>
              <w:adjustRightInd w:val="0"/>
              <w:snapToGrid w:val="0"/>
              <w:spacing w:line="300" w:lineRule="exact"/>
              <w:jc w:val="center"/>
              <w:rPr>
                <w:rFonts w:hint="default"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133" w:type="dxa"/>
            <w:gridSpan w:val="4"/>
            <w:noWrap/>
            <w:vAlign w:val="center"/>
          </w:tcPr>
          <w:p>
            <w:pPr>
              <w:adjustRightInd w:val="0"/>
              <w:snapToGrid w:val="0"/>
              <w:spacing w:line="300" w:lineRule="exact"/>
              <w:jc w:val="center"/>
              <w:rPr>
                <w:rFonts w:ascii="仿宋" w:hAnsi="仿宋" w:eastAsia="仿宋" w:cs="仿宋"/>
                <w:b/>
                <w:sz w:val="24"/>
                <w:szCs w:val="24"/>
              </w:rPr>
            </w:pPr>
            <w:r>
              <w:rPr>
                <w:rFonts w:hint="eastAsia" w:ascii="仿宋" w:hAnsi="仿宋" w:eastAsia="仿宋" w:cs="仿宋"/>
                <w:b/>
                <w:sz w:val="24"/>
                <w:szCs w:val="24"/>
              </w:rPr>
              <w:t>总计</w:t>
            </w:r>
          </w:p>
        </w:tc>
        <w:tc>
          <w:tcPr>
            <w:tcW w:w="1066" w:type="dxa"/>
            <w:noWrap/>
            <w:vAlign w:val="center"/>
          </w:tcPr>
          <w:p>
            <w:pPr>
              <w:adjustRightInd w:val="0"/>
              <w:snapToGrid w:val="0"/>
              <w:spacing w:line="300" w:lineRule="exact"/>
              <w:jc w:val="center"/>
              <w:rPr>
                <w:rFonts w:ascii="仿宋" w:hAnsi="仿宋" w:eastAsia="仿宋" w:cs="仿宋"/>
                <w:sz w:val="24"/>
                <w:szCs w:val="24"/>
              </w:rPr>
            </w:pPr>
          </w:p>
        </w:tc>
        <w:tc>
          <w:tcPr>
            <w:tcW w:w="621" w:type="dxa"/>
            <w:noWrap/>
            <w:vAlign w:val="center"/>
          </w:tcPr>
          <w:p>
            <w:pPr>
              <w:adjustRightInd w:val="0"/>
              <w:snapToGrid w:val="0"/>
              <w:spacing w:line="300" w:lineRule="exact"/>
              <w:jc w:val="center"/>
              <w:rPr>
                <w:rFonts w:ascii="仿宋" w:hAnsi="仿宋" w:eastAsia="仿宋" w:cs="仿宋"/>
                <w:sz w:val="24"/>
                <w:szCs w:val="24"/>
              </w:rPr>
            </w:pPr>
          </w:p>
        </w:tc>
        <w:tc>
          <w:tcPr>
            <w:tcW w:w="875" w:type="dxa"/>
            <w:noWrap/>
            <w:vAlign w:val="center"/>
          </w:tcPr>
          <w:p>
            <w:pPr>
              <w:adjustRightInd w:val="0"/>
              <w:snapToGrid w:val="0"/>
              <w:spacing w:line="300" w:lineRule="exact"/>
              <w:jc w:val="center"/>
              <w:rPr>
                <w:rFonts w:ascii="仿宋" w:hAnsi="仿宋" w:eastAsia="仿宋" w:cs="仿宋"/>
                <w:sz w:val="24"/>
                <w:szCs w:val="24"/>
              </w:rPr>
            </w:pPr>
          </w:p>
        </w:tc>
        <w:tc>
          <w:tcPr>
            <w:tcW w:w="1382" w:type="dxa"/>
            <w:noWrap/>
            <w:vAlign w:val="center"/>
          </w:tcPr>
          <w:p>
            <w:pPr>
              <w:adjustRightInd w:val="0"/>
              <w:snapToGrid w:val="0"/>
              <w:spacing w:line="300" w:lineRule="exact"/>
              <w:jc w:val="center"/>
              <w:rPr>
                <w:rFonts w:ascii="仿宋" w:hAnsi="仿宋" w:eastAsia="仿宋" w:cs="仿宋"/>
                <w:b/>
                <w:bCs/>
                <w:sz w:val="24"/>
                <w:szCs w:val="24"/>
              </w:rPr>
            </w:pPr>
          </w:p>
        </w:tc>
      </w:tr>
    </w:tbl>
    <w:p>
      <w:r>
        <w:br w:type="page"/>
      </w:r>
    </w:p>
    <w:p>
      <w:pPr>
        <w:pStyle w:val="3"/>
        <w:sectPr>
          <w:pgSz w:w="11906" w:h="16838"/>
          <w:pgMar w:top="1440" w:right="1800" w:bottom="1440" w:left="1800" w:header="851" w:footer="992" w:gutter="0"/>
          <w:cols w:space="425" w:num="1"/>
          <w:docGrid w:type="lines" w:linePitch="312" w:charSpace="0"/>
        </w:sectPr>
      </w:pPr>
    </w:p>
    <w:p>
      <w:pPr>
        <w:pStyle w:val="10"/>
        <w:ind w:firstLine="0" w:firstLineChars="0"/>
        <w:rPr>
          <w:rFonts w:hint="default" w:eastAsia="宋体"/>
          <w:sz w:val="36"/>
          <w:szCs w:val="36"/>
          <w:lang w:val="en-US" w:eastAsia="zh-CN"/>
        </w:rPr>
      </w:pPr>
      <w:r>
        <w:rPr>
          <w:rFonts w:hint="eastAsia" w:ascii="宋体" w:hAnsi="宋体" w:cs="宋体"/>
          <w:b/>
          <w:bCs/>
          <w:color w:val="000000"/>
          <w:kern w:val="0"/>
          <w:sz w:val="36"/>
          <w:szCs w:val="36"/>
        </w:rPr>
        <w:t>附件</w:t>
      </w:r>
      <w:r>
        <w:rPr>
          <w:rFonts w:hint="eastAsia" w:ascii="宋体" w:hAnsi="宋体" w:cs="宋体"/>
          <w:b/>
          <w:bCs/>
          <w:color w:val="000000"/>
          <w:kern w:val="0"/>
          <w:sz w:val="36"/>
          <w:szCs w:val="36"/>
          <w:lang w:val="en-US" w:eastAsia="zh-CN"/>
        </w:rPr>
        <w:t>一</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en-US" w:eastAsia="zh-CN"/>
        </w:rPr>
        <w:t>学生公寓床</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387"/>
        <w:gridCol w:w="8660"/>
        <w:gridCol w:w="856"/>
        <w:gridCol w:w="856"/>
        <w:gridCol w:w="856"/>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dxa"/>
            <w:shd w:val="clear" w:color="000000" w:fill="00B0F0"/>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序号</w:t>
            </w:r>
          </w:p>
        </w:tc>
        <w:tc>
          <w:tcPr>
            <w:tcW w:w="1387" w:type="dxa"/>
            <w:shd w:val="clear" w:color="000000" w:fill="00B0F0"/>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b/>
                <w:bCs/>
                <w:color w:val="auto"/>
                <w:kern w:val="0"/>
                <w:szCs w:val="21"/>
                <w:lang w:val="en-US" w:eastAsia="zh-CN"/>
              </w:rPr>
            </w:pPr>
            <w:r>
              <w:rPr>
                <w:rFonts w:hint="eastAsia" w:ascii="仿宋_GB2312" w:hAnsi="仿宋_GB2312" w:eastAsia="仿宋_GB2312" w:cs="仿宋_GB2312"/>
                <w:b/>
                <w:bCs/>
                <w:color w:val="auto"/>
                <w:kern w:val="0"/>
                <w:szCs w:val="21"/>
                <w:lang w:val="en-US" w:eastAsia="zh-CN"/>
              </w:rPr>
              <w:t>产品名称</w:t>
            </w:r>
          </w:p>
        </w:tc>
        <w:tc>
          <w:tcPr>
            <w:tcW w:w="8660" w:type="dxa"/>
            <w:shd w:val="clear" w:color="000000" w:fill="00B0F0"/>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主要技术参数(规格)</w:t>
            </w:r>
          </w:p>
        </w:tc>
        <w:tc>
          <w:tcPr>
            <w:tcW w:w="856" w:type="dxa"/>
            <w:shd w:val="clear" w:color="000000" w:fill="00B0F0"/>
            <w:noWrap w:val="0"/>
            <w:vAlign w:val="center"/>
          </w:tcPr>
          <w:p>
            <w:pPr>
              <w:pageBreakBefore w:val="0"/>
              <w:widowControl/>
              <w:kinsoku/>
              <w:wordWrap/>
              <w:overflowPunct/>
              <w:topLinePunct w:val="0"/>
              <w:autoSpaceDE/>
              <w:autoSpaceDN/>
              <w:bidi w:val="0"/>
              <w:spacing w:beforeAutospacing="0" w:afterAutospacing="0" w:line="240" w:lineRule="auto"/>
              <w:jc w:val="both"/>
              <w:rPr>
                <w:rFonts w:hint="eastAsia" w:ascii="仿宋_GB2312" w:hAnsi="仿宋_GB2312" w:eastAsia="仿宋_GB2312" w:cs="仿宋_GB2312"/>
                <w:b/>
                <w:bCs/>
                <w:color w:val="auto"/>
                <w:kern w:val="0"/>
                <w:szCs w:val="21"/>
                <w:lang w:val="en-US" w:eastAsia="zh-CN"/>
              </w:rPr>
            </w:pPr>
            <w:r>
              <w:rPr>
                <w:rFonts w:hint="eastAsia" w:ascii="仿宋_GB2312" w:hAnsi="仿宋_GB2312" w:eastAsia="仿宋_GB2312" w:cs="仿宋_GB2312"/>
                <w:b/>
                <w:bCs/>
                <w:color w:val="auto"/>
                <w:kern w:val="0"/>
                <w:szCs w:val="21"/>
                <w:lang w:val="en-US" w:eastAsia="zh-CN"/>
              </w:rPr>
              <w:t>单位</w:t>
            </w:r>
          </w:p>
        </w:tc>
        <w:tc>
          <w:tcPr>
            <w:tcW w:w="856" w:type="dxa"/>
            <w:shd w:val="clear" w:color="000000" w:fill="00B0F0"/>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b/>
                <w:bCs/>
                <w:color w:val="auto"/>
                <w:kern w:val="0"/>
                <w:szCs w:val="21"/>
                <w:lang w:val="en-US" w:eastAsia="zh-CN"/>
              </w:rPr>
            </w:pPr>
            <w:r>
              <w:rPr>
                <w:rFonts w:hint="eastAsia" w:ascii="仿宋_GB2312" w:hAnsi="仿宋_GB2312" w:eastAsia="仿宋_GB2312" w:cs="仿宋_GB2312"/>
                <w:b/>
                <w:bCs/>
                <w:color w:val="auto"/>
                <w:kern w:val="0"/>
                <w:szCs w:val="21"/>
                <w:lang w:val="en-US" w:eastAsia="zh-CN"/>
              </w:rPr>
              <w:t>数量</w:t>
            </w:r>
          </w:p>
        </w:tc>
        <w:tc>
          <w:tcPr>
            <w:tcW w:w="856" w:type="dxa"/>
            <w:shd w:val="clear" w:color="000000" w:fill="00B0F0"/>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b/>
                <w:bCs/>
                <w:color w:val="auto"/>
                <w:kern w:val="0"/>
                <w:szCs w:val="21"/>
                <w:lang w:val="en-US" w:eastAsia="zh-CN"/>
              </w:rPr>
            </w:pPr>
            <w:r>
              <w:rPr>
                <w:rFonts w:hint="eastAsia" w:ascii="仿宋_GB2312" w:hAnsi="仿宋_GB2312" w:eastAsia="仿宋_GB2312" w:cs="仿宋_GB2312"/>
                <w:b/>
                <w:bCs/>
                <w:color w:val="auto"/>
                <w:kern w:val="0"/>
                <w:szCs w:val="21"/>
                <w:lang w:val="en-US" w:eastAsia="zh-CN"/>
              </w:rPr>
              <w:t>单价</w:t>
            </w:r>
          </w:p>
        </w:tc>
        <w:tc>
          <w:tcPr>
            <w:tcW w:w="856" w:type="dxa"/>
            <w:shd w:val="clear" w:color="000000" w:fill="00B0F0"/>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b/>
                <w:bCs/>
                <w:color w:val="auto"/>
                <w:kern w:val="0"/>
                <w:szCs w:val="21"/>
                <w:lang w:val="en-US" w:eastAsia="zh-CN"/>
              </w:rPr>
            </w:pPr>
            <w:r>
              <w:rPr>
                <w:rFonts w:hint="eastAsia" w:ascii="仿宋_GB2312" w:hAnsi="仿宋_GB2312" w:eastAsia="仿宋_GB2312" w:cs="仿宋_GB2312"/>
                <w:b/>
                <w:bCs/>
                <w:color w:val="auto"/>
                <w:kern w:val="0"/>
                <w:szCs w:val="21"/>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9" w:hRule="atLeast"/>
          <w:jc w:val="center"/>
        </w:trPr>
        <w:tc>
          <w:tcPr>
            <w:tcW w:w="660"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w:t>
            </w:r>
          </w:p>
        </w:tc>
        <w:tc>
          <w:tcPr>
            <w:tcW w:w="1387" w:type="dxa"/>
            <w:noWrap w:val="0"/>
            <w:vAlign w:val="center"/>
          </w:tcPr>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 w:hAnsi="仿宋" w:eastAsia="仿宋" w:cs="仿宋"/>
                <w:sz w:val="24"/>
                <w:szCs w:val="24"/>
                <w:lang w:val="en-US" w:eastAsia="zh-CN"/>
              </w:rPr>
              <w:t>学生公寓床</w:t>
            </w:r>
          </w:p>
        </w:tc>
        <w:tc>
          <w:tcPr>
            <w:tcW w:w="8660"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 xml:space="preserve">三人位公寓床规格：L6000mm*D900mm*H2080mm   </w:t>
            </w:r>
          </w:p>
          <w:p>
            <w:pPr>
              <w:rPr>
                <w:rFonts w:hint="eastAsia" w:ascii="仿宋_GB2312" w:hAnsi="仿宋_GB2312" w:eastAsia="仿宋_GB2312" w:cs="仿宋_GB2312"/>
              </w:rPr>
            </w:pPr>
            <w:r>
              <w:rPr>
                <w:rFonts w:hint="eastAsia" w:ascii="仿宋_GB2312" w:hAnsi="仿宋_GB2312" w:eastAsia="仿宋_GB2312" w:cs="仿宋_GB2312"/>
              </w:rPr>
              <w:t xml:space="preserve">1、床立柱：采用优质60mm×60mm壁厚为1.2mm的闭口形棱形钢管，钢管立面为中空封口形状高频焊管，管材由6个平面组成，6条纵向筋组成，使纵向受力更好。                           </w:t>
            </w:r>
          </w:p>
          <w:p>
            <w:pPr>
              <w:rPr>
                <w:rFonts w:hint="eastAsia" w:ascii="仿宋_GB2312" w:hAnsi="仿宋_GB2312" w:eastAsia="仿宋_GB2312" w:cs="仿宋_GB2312"/>
              </w:rPr>
            </w:pPr>
            <w:r>
              <w:rPr>
                <w:rFonts w:hint="eastAsia" w:ascii="仿宋_GB2312" w:hAnsi="仿宋_GB2312" w:eastAsia="仿宋_GB2312" w:cs="仿宋_GB2312"/>
              </w:rPr>
              <w:t>2、床横梁：采用优质32mm×72mm壁厚为1.2mm的闭口形P形钢管，钢管经特制成型线轧制焊接而成，其立面为中空异形封闭焊管，正面为光滑的平面，内侧上部有半凹槽，加强支撑床铺板，半凹台宽度≥6mm，高度≥13mm。横梁底部为圆弧形状，减轻下方使用者的碰撞伤害，更加安全。</w:t>
            </w:r>
          </w:p>
          <w:p>
            <w:pPr>
              <w:rPr>
                <w:rFonts w:hint="eastAsia" w:ascii="仿宋_GB2312" w:hAnsi="仿宋_GB2312" w:eastAsia="仿宋_GB2312" w:cs="仿宋_GB2312"/>
              </w:rPr>
            </w:pPr>
            <w:r>
              <w:rPr>
                <w:rFonts w:hint="eastAsia" w:ascii="仿宋_GB2312" w:hAnsi="仿宋_GB2312" w:eastAsia="仿宋_GB2312" w:cs="仿宋_GB2312"/>
              </w:rPr>
              <w:t>3、扶栏：采用优质25*25*1.2mm方管制作，护栏长度为1250mm，高度为310mm，安合舒适。</w:t>
            </w:r>
          </w:p>
          <w:p>
            <w:pPr>
              <w:rPr>
                <w:rFonts w:hint="eastAsia" w:ascii="仿宋_GB2312" w:hAnsi="仿宋_GB2312" w:eastAsia="仿宋_GB2312" w:cs="仿宋_GB2312"/>
              </w:rPr>
            </w:pPr>
            <w:r>
              <w:rPr>
                <w:rFonts w:hint="eastAsia" w:ascii="仿宋_GB2312" w:hAnsi="仿宋_GB2312" w:eastAsia="仿宋_GB2312" w:cs="仿宋_GB2312"/>
              </w:rPr>
              <w:t>4、梯步：采用优质25*25**1.2mm方圆管配带夜光防滑踏板制作，夜光防滑踏板增加安全性。</w:t>
            </w:r>
          </w:p>
          <w:p>
            <w:pPr>
              <w:rPr>
                <w:rFonts w:hint="eastAsia" w:ascii="仿宋_GB2312" w:hAnsi="仿宋_GB2312" w:eastAsia="仿宋_GB2312" w:cs="仿宋_GB2312"/>
              </w:rPr>
            </w:pPr>
            <w:r>
              <w:rPr>
                <w:rFonts w:hint="eastAsia" w:ascii="仿宋_GB2312" w:hAnsi="仿宋_GB2312" w:eastAsia="仿宋_GB2312" w:cs="仿宋_GB2312"/>
              </w:rPr>
              <w:t>5、床换：采用优质25*25方管，边床换两端方管安装有防脱落和串动的两种注塑件，防止掉落，同时防止震动时发生噪音，影响他人休息。</w:t>
            </w:r>
          </w:p>
          <w:p>
            <w:pPr>
              <w:rPr>
                <w:rFonts w:hint="eastAsia" w:ascii="仿宋_GB2312" w:hAnsi="仿宋_GB2312" w:eastAsia="仿宋_GB2312" w:cs="仿宋_GB2312"/>
              </w:rPr>
            </w:pPr>
            <w:r>
              <w:rPr>
                <w:rFonts w:hint="eastAsia" w:ascii="仿宋_GB2312" w:hAnsi="仿宋_GB2312" w:eastAsia="仿宋_GB2312" w:cs="仿宋_GB2312"/>
              </w:rPr>
              <w:t>6、床铺板：采用9mm厚E1级环保多层板，床铺板符合GB/T5849-2016、GB18580-2017标准。</w:t>
            </w:r>
          </w:p>
          <w:p>
            <w:pPr>
              <w:rPr>
                <w:rFonts w:hint="eastAsia" w:ascii="仿宋_GB2312" w:hAnsi="仿宋_GB2312" w:eastAsia="仿宋_GB2312" w:cs="仿宋_GB2312"/>
              </w:rPr>
            </w:pPr>
            <w:r>
              <w:rPr>
                <w:rFonts w:hint="eastAsia" w:ascii="仿宋_GB2312" w:hAnsi="仿宋_GB2312" w:eastAsia="仿宋_GB2312" w:cs="仿宋_GB2312"/>
              </w:rPr>
              <w:t>7、学习桌、书架、采用衣柜：学习桌的桌面采用25mm厚E1级环保中纤板，桌前端设计为符合人体工程学舒适的鸭嘴边；书架和衣柜采用15mm厚E1级环保实木颗粒板制作；衣柜配不锈钢挂衣杆和一层隔板，</w:t>
            </w:r>
          </w:p>
          <w:p>
            <w:pPr>
              <w:rPr>
                <w:rFonts w:hint="eastAsia" w:ascii="仿宋_GB2312" w:hAnsi="仿宋_GB2312" w:eastAsia="仿宋_GB2312" w:cs="仿宋_GB2312"/>
              </w:rPr>
            </w:pPr>
            <w:r>
              <w:rPr>
                <w:rFonts w:hint="eastAsia" w:ascii="仿宋_GB2312" w:hAnsi="仿宋_GB2312" w:eastAsia="仿宋_GB2312" w:cs="仿宋_GB2312"/>
              </w:rPr>
              <w:t>柜门拉手采用铝合拉手，正面有一圆弧形凹槽，锲合手指。</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结构图：</w:t>
            </w:r>
          </w:p>
          <w:p>
            <w:pPr>
              <w:pStyle w:val="10"/>
              <w:rPr>
                <w:rFonts w:hint="eastAsia"/>
              </w:rPr>
            </w:pPr>
          </w:p>
          <w:p>
            <w:pPr>
              <w:pStyle w:val="10"/>
            </w:pPr>
            <w:r>
              <w:drawing>
                <wp:inline distT="0" distB="0" distL="114300" distR="114300">
                  <wp:extent cx="5055235" cy="2550160"/>
                  <wp:effectExtent l="0" t="0" r="1206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055235" cy="2550160"/>
                          </a:xfrm>
                          <a:prstGeom prst="rect">
                            <a:avLst/>
                          </a:prstGeom>
                          <a:noFill/>
                          <a:ln>
                            <a:noFill/>
                          </a:ln>
                        </pic:spPr>
                      </pic:pic>
                    </a:graphicData>
                  </a:graphic>
                </wp:inline>
              </w:drawing>
            </w:r>
          </w:p>
          <w:p/>
          <w:p>
            <w:pPr>
              <w:rPr>
                <w:rFonts w:hint="eastAsia"/>
              </w:rPr>
            </w:pPr>
            <w:r>
              <w:drawing>
                <wp:inline distT="0" distB="0" distL="114300" distR="114300">
                  <wp:extent cx="5450205" cy="2178050"/>
                  <wp:effectExtent l="0" t="0" r="17145" b="1270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5450205" cy="2178050"/>
                          </a:xfrm>
                          <a:prstGeom prst="rect">
                            <a:avLst/>
                          </a:prstGeom>
                          <a:noFill/>
                          <a:ln>
                            <a:noFill/>
                          </a:ln>
                        </pic:spPr>
                      </pic:pic>
                    </a:graphicData>
                  </a:graphic>
                </wp:inline>
              </w:drawing>
            </w:r>
          </w:p>
        </w:tc>
        <w:tc>
          <w:tcPr>
            <w:tcW w:w="856" w:type="dxa"/>
            <w:noWrap w:val="0"/>
            <w:vAlign w:val="center"/>
          </w:tcPr>
          <w:p>
            <w:pPr>
              <w:ind w:firstLine="210" w:firstLineChars="1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台</w:t>
            </w:r>
          </w:p>
        </w:tc>
        <w:tc>
          <w:tcPr>
            <w:tcW w:w="856" w:type="dxa"/>
            <w:noWrap w:val="0"/>
            <w:vAlign w:val="center"/>
          </w:tcPr>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1148</w:t>
            </w:r>
          </w:p>
        </w:tc>
        <w:tc>
          <w:tcPr>
            <w:tcW w:w="856" w:type="dxa"/>
            <w:noWrap w:val="0"/>
            <w:vAlign w:val="center"/>
          </w:tcPr>
          <w:p>
            <w:pPr>
              <w:jc w:val="center"/>
              <w:rPr>
                <w:rFonts w:hint="default" w:ascii="仿宋_GB2312" w:hAnsi="仿宋_GB2312" w:eastAsia="仿宋_GB2312" w:cs="仿宋_GB2312"/>
                <w:lang w:val="en-US" w:eastAsia="zh-CN"/>
              </w:rPr>
            </w:pPr>
          </w:p>
        </w:tc>
        <w:tc>
          <w:tcPr>
            <w:tcW w:w="856" w:type="dxa"/>
            <w:noWrap w:val="0"/>
            <w:vAlign w:val="center"/>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660"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　</w:t>
            </w:r>
          </w:p>
        </w:tc>
        <w:tc>
          <w:tcPr>
            <w:tcW w:w="1387" w:type="dxa"/>
            <w:noWrap w:val="0"/>
            <w:vAlign w:val="center"/>
          </w:tcPr>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 w:hAnsi="仿宋" w:eastAsia="仿宋" w:cs="仿宋"/>
                <w:color w:val="000000"/>
                <w:kern w:val="0"/>
                <w:sz w:val="24"/>
                <w:szCs w:val="24"/>
                <w:lang w:val="en-US" w:eastAsia="zh-CN"/>
              </w:rPr>
              <w:t>便携式扩音器</w:t>
            </w:r>
          </w:p>
        </w:tc>
        <w:tc>
          <w:tcPr>
            <w:tcW w:w="8660" w:type="dxa"/>
            <w:noWrap w:val="0"/>
            <w:vAlign w:val="center"/>
          </w:tcPr>
          <w:p>
            <w:pPr>
              <w:widowControl/>
              <w:numPr>
                <w:ilvl w:val="0"/>
                <w:numId w:val="1"/>
              </w:numPr>
              <w:jc w:val="left"/>
              <w:textAlignment w:val="center"/>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采用2200mAh及以上锂电池，配备精准的电池管理；</w:t>
            </w:r>
          </w:p>
          <w:p>
            <w:pPr>
              <w:pStyle w:val="2"/>
              <w:numPr>
                <w:ilvl w:val="0"/>
                <w:numId w:val="0"/>
              </w:numPr>
              <w:ind w:leftChars="0"/>
              <w:jc w:val="left"/>
              <w:rPr>
                <w:rFonts w:hint="eastAsia" w:ascii="仿宋_GB2312" w:hAnsi="仿宋_GB2312" w:eastAsia="仿宋_GB2312" w:cs="仿宋_GB2312"/>
                <w:bCs w:val="0"/>
                <w:color w:val="000000"/>
                <w:kern w:val="0"/>
                <w:sz w:val="21"/>
                <w:szCs w:val="21"/>
                <w:lang w:val="en-US" w:eastAsia="zh-CN" w:bidi="ar-SA"/>
              </w:rPr>
            </w:pPr>
            <w:r>
              <w:rPr>
                <w:rFonts w:hint="eastAsia" w:ascii="仿宋_GB2312" w:hAnsi="仿宋_GB2312" w:eastAsia="仿宋_GB2312" w:cs="仿宋_GB2312"/>
                <w:bCs w:val="0"/>
                <w:color w:val="000000"/>
                <w:kern w:val="0"/>
                <w:sz w:val="21"/>
                <w:szCs w:val="21"/>
                <w:lang w:val="en-US" w:eastAsia="zh-CN" w:bidi="ar-SA"/>
              </w:rPr>
              <w:t>2.可续航25小时及以上；</w:t>
            </w:r>
          </w:p>
          <w:p>
            <w:pPr>
              <w:numPr>
                <w:ilvl w:val="0"/>
                <w:numId w:val="0"/>
              </w:numPr>
              <w:ind w:leftChars="0"/>
              <w:rPr>
                <w:rFonts w:hint="default" w:ascii="仿宋_GB2312" w:hAnsi="仿宋_GB2312" w:eastAsia="仿宋_GB2312" w:cs="仿宋_GB2312"/>
                <w:bCs w:val="0"/>
                <w:color w:val="000000"/>
                <w:kern w:val="0"/>
                <w:sz w:val="21"/>
                <w:szCs w:val="21"/>
                <w:lang w:val="en-US" w:eastAsia="zh-CN" w:bidi="ar-SA"/>
              </w:rPr>
            </w:pPr>
            <w:r>
              <w:rPr>
                <w:rFonts w:hint="eastAsia" w:ascii="仿宋_GB2312" w:hAnsi="仿宋_GB2312" w:eastAsia="仿宋_GB2312" w:cs="仿宋_GB2312"/>
                <w:bCs w:val="0"/>
                <w:color w:val="000000"/>
                <w:kern w:val="0"/>
                <w:sz w:val="21"/>
                <w:szCs w:val="21"/>
                <w:lang w:val="en-US" w:eastAsia="zh-CN" w:bidi="ar-SA"/>
              </w:rPr>
              <w:t>3.标配9.7mm直径大咪头；</w:t>
            </w:r>
          </w:p>
          <w:p>
            <w:pPr>
              <w:pStyle w:val="2"/>
              <w:jc w:val="left"/>
              <w:rPr>
                <w:rFonts w:hint="eastAsia" w:ascii="仿宋_GB2312" w:hAnsi="仿宋_GB2312" w:eastAsia="仿宋_GB2312" w:cs="仿宋_GB2312"/>
                <w:bCs w:val="0"/>
                <w:color w:val="000000"/>
                <w:kern w:val="0"/>
                <w:sz w:val="21"/>
                <w:szCs w:val="21"/>
                <w:lang w:val="en-US" w:eastAsia="zh-CN" w:bidi="ar-SA"/>
              </w:rPr>
            </w:pPr>
            <w:r>
              <w:rPr>
                <w:rFonts w:hint="eastAsia" w:ascii="仿宋_GB2312" w:hAnsi="仿宋_GB2312" w:eastAsia="仿宋_GB2312" w:cs="仿宋_GB2312"/>
                <w:bCs w:val="0"/>
                <w:color w:val="000000"/>
                <w:kern w:val="0"/>
                <w:sz w:val="21"/>
                <w:szCs w:val="21"/>
                <w:lang w:val="en-US" w:eastAsia="zh-CN" w:bidi="ar-SA"/>
              </w:rPr>
              <w:t>4.line in 音频输入，可兼容笔记本/电脑、平板电脑、手机等设备。</w:t>
            </w:r>
          </w:p>
          <w:p>
            <w:pPr>
              <w:pStyle w:val="2"/>
              <w:numPr>
                <w:ilvl w:val="0"/>
                <w:numId w:val="0"/>
              </w:numPr>
              <w:jc w:val="both"/>
              <w:rPr>
                <w:rFonts w:hint="eastAsia"/>
                <w:lang w:val="en-US" w:eastAsia="zh-CN"/>
              </w:rPr>
            </w:pPr>
            <w:r>
              <w:rPr>
                <w:rFonts w:hint="eastAsia" w:ascii="仿宋_GB2312" w:hAnsi="仿宋_GB2312" w:eastAsia="仿宋_GB2312" w:cs="仿宋_GB2312"/>
                <w:bCs w:val="0"/>
                <w:color w:val="000000"/>
                <w:kern w:val="0"/>
                <w:sz w:val="21"/>
                <w:szCs w:val="21"/>
                <w:lang w:val="en-US" w:eastAsia="zh-CN" w:bidi="ar-SA"/>
              </w:rPr>
              <w:t>5.配有扩音器、接收器、USB电源线、挂带等各一个。</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p>
        </w:tc>
        <w:tc>
          <w:tcPr>
            <w:tcW w:w="856"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台</w:t>
            </w:r>
          </w:p>
        </w:tc>
        <w:tc>
          <w:tcPr>
            <w:tcW w:w="856"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50</w:t>
            </w:r>
            <w:bookmarkStart w:id="0" w:name="_GoBack"/>
            <w:bookmarkEnd w:id="0"/>
          </w:p>
        </w:tc>
        <w:tc>
          <w:tcPr>
            <w:tcW w:w="856"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1"/>
                <w:szCs w:val="21"/>
                <w:lang w:val="en-US" w:eastAsia="zh-CN"/>
              </w:rPr>
            </w:pPr>
          </w:p>
        </w:tc>
        <w:tc>
          <w:tcPr>
            <w:tcW w:w="856"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0707" w:type="dxa"/>
            <w:gridSpan w:val="3"/>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b/>
                <w:bCs/>
                <w:color w:val="000000"/>
                <w:kern w:val="0"/>
                <w:sz w:val="21"/>
                <w:szCs w:val="21"/>
                <w:lang w:val="en-US" w:eastAsia="zh-CN"/>
              </w:rPr>
              <w:t>合计</w:t>
            </w:r>
          </w:p>
        </w:tc>
        <w:tc>
          <w:tcPr>
            <w:tcW w:w="856"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1"/>
                <w:szCs w:val="21"/>
              </w:rPr>
            </w:pPr>
          </w:p>
        </w:tc>
        <w:tc>
          <w:tcPr>
            <w:tcW w:w="856"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1"/>
                <w:szCs w:val="21"/>
              </w:rPr>
            </w:pPr>
          </w:p>
        </w:tc>
        <w:tc>
          <w:tcPr>
            <w:tcW w:w="856"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1"/>
                <w:szCs w:val="21"/>
              </w:rPr>
            </w:pPr>
          </w:p>
        </w:tc>
        <w:tc>
          <w:tcPr>
            <w:tcW w:w="856"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1"/>
                <w:szCs w:val="21"/>
              </w:rPr>
            </w:pPr>
          </w:p>
        </w:tc>
      </w:tr>
    </w:tbl>
    <w:p>
      <w:pPr>
        <w:pStyle w:val="3"/>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D5C2BB"/>
    <w:multiLevelType w:val="singleLevel"/>
    <w:tmpl w:val="25D5C2B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Q4Mzk4ZWRkZmMyOTU3MTllNTRmYjI2NWMyYzNkODkifQ=="/>
  </w:docVars>
  <w:rsids>
    <w:rsidRoot w:val="00B514D0"/>
    <w:rsid w:val="000B4ABB"/>
    <w:rsid w:val="002846A2"/>
    <w:rsid w:val="00767513"/>
    <w:rsid w:val="009721AA"/>
    <w:rsid w:val="00B514D0"/>
    <w:rsid w:val="00CA613C"/>
    <w:rsid w:val="024C1528"/>
    <w:rsid w:val="02951EDC"/>
    <w:rsid w:val="033D6C49"/>
    <w:rsid w:val="04B10524"/>
    <w:rsid w:val="05F257ED"/>
    <w:rsid w:val="06B2679F"/>
    <w:rsid w:val="087E0481"/>
    <w:rsid w:val="0B0D7F86"/>
    <w:rsid w:val="0B9C1B14"/>
    <w:rsid w:val="0C7156BE"/>
    <w:rsid w:val="0E063628"/>
    <w:rsid w:val="0E26243C"/>
    <w:rsid w:val="0EF920CC"/>
    <w:rsid w:val="0F914234"/>
    <w:rsid w:val="0F9C3145"/>
    <w:rsid w:val="0FF02789"/>
    <w:rsid w:val="109666F5"/>
    <w:rsid w:val="10C234B2"/>
    <w:rsid w:val="10FB40F0"/>
    <w:rsid w:val="13913395"/>
    <w:rsid w:val="13BF7656"/>
    <w:rsid w:val="14A71D36"/>
    <w:rsid w:val="16830AEB"/>
    <w:rsid w:val="16931917"/>
    <w:rsid w:val="1775586B"/>
    <w:rsid w:val="177B1AE6"/>
    <w:rsid w:val="17B81C9F"/>
    <w:rsid w:val="180649CB"/>
    <w:rsid w:val="1AFD24D1"/>
    <w:rsid w:val="1B281F85"/>
    <w:rsid w:val="1D064333"/>
    <w:rsid w:val="1DDC3A3A"/>
    <w:rsid w:val="1DFC4CCF"/>
    <w:rsid w:val="1DFD71F5"/>
    <w:rsid w:val="1E242665"/>
    <w:rsid w:val="1FE81CE3"/>
    <w:rsid w:val="207955CE"/>
    <w:rsid w:val="22F20CE3"/>
    <w:rsid w:val="24C60FF4"/>
    <w:rsid w:val="250D7AF6"/>
    <w:rsid w:val="278D0E9D"/>
    <w:rsid w:val="28164F13"/>
    <w:rsid w:val="283453B9"/>
    <w:rsid w:val="28FB6B38"/>
    <w:rsid w:val="2A125C2A"/>
    <w:rsid w:val="2AA9206F"/>
    <w:rsid w:val="2B8A1EA0"/>
    <w:rsid w:val="3019196D"/>
    <w:rsid w:val="33022C64"/>
    <w:rsid w:val="354A0F90"/>
    <w:rsid w:val="356934B3"/>
    <w:rsid w:val="358A16AE"/>
    <w:rsid w:val="365001FC"/>
    <w:rsid w:val="369D517D"/>
    <w:rsid w:val="37111FF5"/>
    <w:rsid w:val="387B3F18"/>
    <w:rsid w:val="38EF04C7"/>
    <w:rsid w:val="3A26309A"/>
    <w:rsid w:val="3A95616C"/>
    <w:rsid w:val="3BA86AE9"/>
    <w:rsid w:val="3BB15227"/>
    <w:rsid w:val="3BBE6CAA"/>
    <w:rsid w:val="3D8726E3"/>
    <w:rsid w:val="3DDC34F5"/>
    <w:rsid w:val="3E733FF8"/>
    <w:rsid w:val="3F163D1F"/>
    <w:rsid w:val="41190CC1"/>
    <w:rsid w:val="41232723"/>
    <w:rsid w:val="42BC0E36"/>
    <w:rsid w:val="4368460B"/>
    <w:rsid w:val="449B514E"/>
    <w:rsid w:val="46ED1809"/>
    <w:rsid w:val="48CF779A"/>
    <w:rsid w:val="494B6CBB"/>
    <w:rsid w:val="495B6A5D"/>
    <w:rsid w:val="49935F6C"/>
    <w:rsid w:val="49AD702E"/>
    <w:rsid w:val="4B38326F"/>
    <w:rsid w:val="4D2E698E"/>
    <w:rsid w:val="4F132029"/>
    <w:rsid w:val="4F2C45ED"/>
    <w:rsid w:val="4F920AB3"/>
    <w:rsid w:val="500B4368"/>
    <w:rsid w:val="50362033"/>
    <w:rsid w:val="50414974"/>
    <w:rsid w:val="50AA2519"/>
    <w:rsid w:val="51B31176"/>
    <w:rsid w:val="51BD4D47"/>
    <w:rsid w:val="520039D2"/>
    <w:rsid w:val="53050280"/>
    <w:rsid w:val="54756851"/>
    <w:rsid w:val="54BC1EB9"/>
    <w:rsid w:val="54BE3CC9"/>
    <w:rsid w:val="569F0A34"/>
    <w:rsid w:val="56F93FE7"/>
    <w:rsid w:val="57C540DC"/>
    <w:rsid w:val="58654E55"/>
    <w:rsid w:val="58951FC6"/>
    <w:rsid w:val="5BE31E0F"/>
    <w:rsid w:val="5C0F2AF7"/>
    <w:rsid w:val="5D0F5F3C"/>
    <w:rsid w:val="5D2B49E2"/>
    <w:rsid w:val="6322106C"/>
    <w:rsid w:val="638F46D9"/>
    <w:rsid w:val="679A496D"/>
    <w:rsid w:val="67CA7017"/>
    <w:rsid w:val="69A17240"/>
    <w:rsid w:val="6A684EA5"/>
    <w:rsid w:val="6BED7123"/>
    <w:rsid w:val="6BFA6658"/>
    <w:rsid w:val="6DB76E92"/>
    <w:rsid w:val="6DB85607"/>
    <w:rsid w:val="6E7A3414"/>
    <w:rsid w:val="7019797A"/>
    <w:rsid w:val="704E2A69"/>
    <w:rsid w:val="70C049B0"/>
    <w:rsid w:val="719C721E"/>
    <w:rsid w:val="724606DE"/>
    <w:rsid w:val="7327134F"/>
    <w:rsid w:val="734A24D4"/>
    <w:rsid w:val="74B862CC"/>
    <w:rsid w:val="750556C0"/>
    <w:rsid w:val="75483B75"/>
    <w:rsid w:val="771E03B4"/>
    <w:rsid w:val="79B37DE1"/>
    <w:rsid w:val="7A4B00F1"/>
    <w:rsid w:val="7C7972B7"/>
    <w:rsid w:val="7CCC223C"/>
    <w:rsid w:val="7D2A0BC7"/>
    <w:rsid w:val="7D425704"/>
    <w:rsid w:val="7DEA41FE"/>
    <w:rsid w:val="7DFF53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unhideWhenUsed/>
    <w:qFormat/>
    <w:uiPriority w:val="9"/>
    <w:pPr>
      <w:keepNext/>
      <w:keepLines/>
      <w:jc w:val="center"/>
      <w:outlineLvl w:val="1"/>
    </w:pPr>
    <w:rPr>
      <w:rFonts w:ascii="Cambria" w:hAnsi="Cambria" w:eastAsia="方正小标宋简体"/>
      <w:bCs/>
      <w:kern w:val="0"/>
      <w:sz w:val="28"/>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Balloon Text"/>
    <w:basedOn w:val="1"/>
    <w:link w:val="16"/>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正文-公1"/>
    <w:basedOn w:val="11"/>
    <w:next w:val="1"/>
    <w:qFormat/>
    <w:uiPriority w:val="4"/>
    <w:pPr>
      <w:ind w:firstLine="200" w:firstLineChars="200"/>
    </w:p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2">
    <w:name w:val="fontstyle01"/>
    <w:qFormat/>
    <w:uiPriority w:val="0"/>
    <w:rPr>
      <w:rFonts w:hint="eastAsia" w:ascii="宋体" w:hAnsi="宋体" w:eastAsia="宋体"/>
      <w:color w:val="000000"/>
      <w:sz w:val="28"/>
      <w:szCs w:val="28"/>
    </w:rPr>
  </w:style>
  <w:style w:type="paragraph" w:styleId="13">
    <w:name w:val="List Paragraph"/>
    <w:basedOn w:val="1"/>
    <w:qFormat/>
    <w:uiPriority w:val="99"/>
    <w:pPr>
      <w:ind w:firstLine="420" w:firstLineChars="200"/>
    </w:pPr>
  </w:style>
  <w:style w:type="character" w:customStyle="1" w:styleId="14">
    <w:name w:val="页眉 Char"/>
    <w:link w:val="6"/>
    <w:qFormat/>
    <w:uiPriority w:val="99"/>
    <w:rPr>
      <w:sz w:val="18"/>
      <w:szCs w:val="18"/>
    </w:rPr>
  </w:style>
  <w:style w:type="paragraph" w:customStyle="1" w:styleId="15">
    <w:name w:val="内文1"/>
    <w:basedOn w:val="1"/>
    <w:qFormat/>
    <w:uiPriority w:val="0"/>
    <w:pPr>
      <w:adjustRightInd w:val="0"/>
      <w:snapToGrid w:val="0"/>
      <w:spacing w:beforeLines="30" w:afterLines="30" w:line="300" w:lineRule="atLeast"/>
      <w:ind w:left="1038"/>
    </w:pPr>
    <w:rPr>
      <w:rFonts w:ascii="Arial" w:hAnsi="Arial" w:cs="Arial"/>
      <w:sz w:val="20"/>
      <w:szCs w:val="20"/>
    </w:rPr>
  </w:style>
  <w:style w:type="character" w:customStyle="1" w:styleId="16">
    <w:name w:val="批注框文本 Char"/>
    <w:basedOn w:val="9"/>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716</Words>
  <Characters>882</Characters>
  <Lines>59</Lines>
  <Paragraphs>16</Paragraphs>
  <TotalTime>1</TotalTime>
  <ScaleCrop>false</ScaleCrop>
  <LinksUpToDate>false</LinksUpToDate>
  <CharactersWithSpaces>926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2022-05-23T14:37:00Z</dcterms:created>
  <dc:creator>YT1</dc:creator>
  <cp:lastModifiedBy>佐蒽</cp:lastModifiedBy>
  <dcterms:modified xsi:type="dcterms:W3CDTF">2023-04-12T02:22:57Z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9D44114D8ED34C3A85C3DD06A4BEC523</vt:lpwstr>
  </property>
</Properties>
</file>